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Times New Roman" w:hAnsi="Times New Roman" w:eastAsia="方正小标宋简体"/>
          <w:sz w:val="44"/>
          <w:szCs w:val="52"/>
        </w:rPr>
      </w:pPr>
    </w:p>
    <w:p>
      <w:pPr>
        <w:spacing w:line="400" w:lineRule="exact"/>
        <w:jc w:val="center"/>
        <w:rPr>
          <w:rFonts w:ascii="Times New Roman" w:hAnsi="Times New Roman" w:eastAsia="方正小标宋简体"/>
          <w:sz w:val="44"/>
          <w:szCs w:val="52"/>
        </w:rPr>
      </w:pPr>
    </w:p>
    <w:p>
      <w:pPr>
        <w:spacing w:line="400" w:lineRule="exact"/>
        <w:jc w:val="both"/>
        <w:rPr>
          <w:rFonts w:hint="eastAsia" w:ascii="仿宋_GB2312" w:eastAsia="仿宋_GB2312"/>
          <w:sz w:val="32"/>
          <w:szCs w:val="32"/>
        </w:rPr>
      </w:pPr>
    </w:p>
    <w:p>
      <w:pPr>
        <w:spacing w:line="400" w:lineRule="exact"/>
        <w:jc w:val="both"/>
        <w:rPr>
          <w:rFonts w:ascii="仿宋_GB2312" w:hAnsi="仿宋_GB2312" w:eastAsia="仿宋_GB2312" w:cs="仿宋_GB2312"/>
          <w:sz w:val="32"/>
          <w:szCs w:val="40"/>
        </w:rPr>
      </w:pPr>
      <w:r>
        <w:rPr>
          <w:rFonts w:hint="eastAsia" w:ascii="仿宋_GB2312" w:eastAsia="仿宋_GB2312"/>
          <w:sz w:val="32"/>
          <w:szCs w:val="32"/>
        </w:rPr>
        <w:t>签发人：</w:t>
      </w:r>
      <w:r>
        <w:rPr>
          <w:rFonts w:hint="eastAsia" w:ascii="楷体" w:hAnsi="楷体" w:eastAsia="楷体" w:cs="楷体"/>
          <w:sz w:val="32"/>
          <w:szCs w:val="32"/>
        </w:rPr>
        <w:t>陈  飞</w:t>
      </w:r>
      <w:r>
        <w:rPr>
          <w:rFonts w:ascii="仿宋_GB2312" w:hAnsi="仿宋_GB2312" w:eastAsia="仿宋_GB2312" w:cs="仿宋_GB2312"/>
          <w:sz w:val="32"/>
          <w:szCs w:val="40"/>
        </w:rPr>
        <w:t xml:space="preserve">  </w:t>
      </w:r>
      <w:r>
        <w:rPr>
          <w:rFonts w:hint="eastAsia" w:ascii="仿宋_GB2312" w:hAnsi="仿宋_GB2312" w:eastAsia="仿宋_GB2312" w:cs="仿宋_GB2312"/>
          <w:sz w:val="32"/>
          <w:szCs w:val="40"/>
          <w:lang w:val="en-US" w:eastAsia="zh-CN"/>
        </w:rPr>
        <w:t xml:space="preserve">               </w:t>
      </w:r>
      <w:r>
        <w:rPr>
          <w:rFonts w:ascii="仿宋_GB2312" w:hAnsi="仿宋_GB2312" w:eastAsia="仿宋_GB2312" w:cs="仿宋_GB2312"/>
          <w:sz w:val="32"/>
          <w:szCs w:val="40"/>
        </w:rPr>
        <w:t xml:space="preserve"> </w:t>
      </w:r>
      <w:r>
        <w:rPr>
          <w:rFonts w:hint="eastAsia" w:ascii="仿宋_GB2312" w:hAnsi="仿宋_GB2312" w:eastAsia="仿宋_GB2312" w:cs="仿宋_GB2312"/>
          <w:sz w:val="32"/>
          <w:szCs w:val="40"/>
        </w:rPr>
        <w:t>渭农函〔</w:t>
      </w:r>
      <w:r>
        <w:rPr>
          <w:rFonts w:ascii="仿宋_GB2312" w:hAnsi="仿宋_GB2312" w:eastAsia="仿宋_GB2312" w:cs="仿宋_GB2312"/>
          <w:sz w:val="32"/>
          <w:szCs w:val="40"/>
        </w:rPr>
        <w:t>2021</w:t>
      </w:r>
      <w:r>
        <w:rPr>
          <w:rFonts w:hint="eastAsia" w:ascii="仿宋_GB2312" w:hAnsi="仿宋_GB2312" w:eastAsia="仿宋_GB2312" w:cs="仿宋_GB2312"/>
          <w:sz w:val="32"/>
          <w:szCs w:val="40"/>
        </w:rPr>
        <w:t>〕</w:t>
      </w:r>
      <w:r>
        <w:rPr>
          <w:rFonts w:ascii="仿宋_GB2312" w:hAnsi="仿宋_GB2312" w:eastAsia="仿宋_GB2312" w:cs="仿宋_GB2312"/>
          <w:sz w:val="32"/>
          <w:szCs w:val="40"/>
        </w:rPr>
        <w:t>115</w:t>
      </w:r>
      <w:r>
        <w:rPr>
          <w:rFonts w:hint="eastAsia" w:ascii="仿宋_GB2312" w:hAnsi="仿宋_GB2312" w:eastAsia="仿宋_GB2312" w:cs="仿宋_GB2312"/>
          <w:sz w:val="32"/>
          <w:szCs w:val="40"/>
        </w:rPr>
        <w:t>号</w:t>
      </w:r>
    </w:p>
    <w:p>
      <w:pPr>
        <w:spacing w:line="400" w:lineRule="exact"/>
        <w:rPr>
          <w:rFonts w:ascii="Times New Roman" w:hAnsi="Times New Roman" w:eastAsia="方正小标宋简体"/>
          <w:sz w:val="44"/>
          <w:szCs w:val="52"/>
        </w:rPr>
      </w:pPr>
    </w:p>
    <w:p>
      <w:pPr>
        <w:spacing w:line="600" w:lineRule="exact"/>
        <w:jc w:val="center"/>
        <w:rPr>
          <w:rFonts w:ascii="方正小标宋简体" w:eastAsia="方正小标宋简体"/>
          <w:sz w:val="44"/>
          <w:szCs w:val="44"/>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渭南市</w:t>
      </w:r>
      <w:bookmarkStart w:id="0" w:name="_GoBack"/>
      <w:bookmarkEnd w:id="0"/>
      <w:r>
        <w:rPr>
          <w:rFonts w:hint="eastAsia" w:ascii="方正小标宋简体" w:eastAsia="方正小标宋简体"/>
          <w:sz w:val="44"/>
          <w:szCs w:val="44"/>
        </w:rPr>
        <w:t>农业农村局</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关于对市五届政协六次会议第</w:t>
      </w:r>
      <w:r>
        <w:rPr>
          <w:rFonts w:ascii="方正小标宋简体" w:eastAsia="方正小标宋简体"/>
          <w:sz w:val="44"/>
          <w:szCs w:val="44"/>
        </w:rPr>
        <w:t>136</w:t>
      </w:r>
      <w:r>
        <w:rPr>
          <w:rFonts w:hint="eastAsia" w:ascii="方正小标宋简体" w:eastAsia="方正小标宋简体"/>
          <w:sz w:val="44"/>
          <w:szCs w:val="44"/>
        </w:rPr>
        <w:t>号</w:t>
      </w:r>
    </w:p>
    <w:p>
      <w:pPr>
        <w:spacing w:line="560" w:lineRule="atLeast"/>
        <w:jc w:val="center"/>
        <w:rPr>
          <w:rFonts w:ascii="方正小标宋简体" w:eastAsia="方正小标宋简体"/>
          <w:sz w:val="44"/>
          <w:szCs w:val="44"/>
        </w:rPr>
      </w:pPr>
      <w:r>
        <w:rPr>
          <w:rFonts w:hint="eastAsia" w:ascii="方正小标宋简体" w:eastAsia="方正小标宋简体"/>
          <w:sz w:val="44"/>
          <w:szCs w:val="44"/>
        </w:rPr>
        <w:t>提案的复函</w:t>
      </w:r>
    </w:p>
    <w:p>
      <w:pPr>
        <w:pStyle w:val="6"/>
        <w:keepNext w:val="0"/>
        <w:keepLines w:val="0"/>
        <w:pageBreakBefore w:val="0"/>
        <w:widowControl/>
        <w:wordWrap/>
        <w:topLinePunct w:val="0"/>
        <w:autoSpaceDE/>
        <w:autoSpaceDN/>
        <w:bidi w:val="0"/>
        <w:spacing w:beforeAutospacing="0" w:afterAutospacing="0" w:line="560" w:lineRule="exact"/>
        <w:textAlignment w:val="auto"/>
        <w:rPr>
          <w:rFonts w:ascii="仿宋_GB2312" w:hAnsi="宋体" w:eastAsia="仿宋_GB2312" w:cs="仿宋_GB2312"/>
          <w:color w:val="333333"/>
          <w:sz w:val="32"/>
          <w:szCs w:val="32"/>
          <w:shd w:val="clear" w:color="auto" w:fill="FFFFFF"/>
        </w:rPr>
      </w:pPr>
      <w:r>
        <w:rPr>
          <w:rFonts w:hint="eastAsia" w:ascii="仿宋_GB2312" w:hAnsi="宋体" w:eastAsia="仿宋_GB2312" w:cs="仿宋_GB2312"/>
          <w:color w:val="333333"/>
          <w:sz w:val="32"/>
          <w:szCs w:val="32"/>
          <w:shd w:val="clear" w:color="auto" w:fill="FFFFFF"/>
          <w:lang w:val="en-US" w:eastAsia="zh-CN"/>
        </w:rPr>
        <w:t>民建渭南市委员会</w:t>
      </w:r>
      <w:r>
        <w:rPr>
          <w:rFonts w:hint="eastAsia" w:ascii="仿宋_GB2312" w:hAnsi="宋体" w:eastAsia="仿宋_GB2312" w:cs="仿宋_GB2312"/>
          <w:color w:val="333333"/>
          <w:sz w:val="32"/>
          <w:szCs w:val="32"/>
          <w:shd w:val="clear" w:color="auto" w:fill="FFFFFF"/>
        </w:rPr>
        <w:t>：</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hint="eastAsia" w:ascii="仿宋_GB2312" w:hAnsi="仿宋_GB2312" w:eastAsia="仿宋_GB2312" w:cs="仿宋_GB2312"/>
          <w:color w:val="000000"/>
          <w:kern w:val="2"/>
          <w:sz w:val="32"/>
          <w:szCs w:val="32"/>
          <w:shd w:val="clear" w:color="auto" w:fill="FFFFFF"/>
          <w:lang w:val="en-US" w:eastAsia="zh-CN"/>
        </w:rPr>
        <w:t>贵单位</w:t>
      </w:r>
      <w:r>
        <w:rPr>
          <w:rFonts w:hint="eastAsia" w:ascii="仿宋_GB2312" w:hAnsi="仿宋_GB2312" w:eastAsia="仿宋_GB2312" w:cs="仿宋_GB2312"/>
          <w:color w:val="000000"/>
          <w:kern w:val="2"/>
          <w:sz w:val="32"/>
          <w:szCs w:val="32"/>
          <w:shd w:val="clear" w:color="auto" w:fill="FFFFFF"/>
        </w:rPr>
        <w:t>提出的《关于进一步推进渭南市农村“厕所革命”的提案》（第</w:t>
      </w:r>
      <w:r>
        <w:rPr>
          <w:rFonts w:ascii="仿宋_GB2312" w:hAnsi="仿宋_GB2312" w:eastAsia="仿宋_GB2312" w:cs="仿宋_GB2312"/>
          <w:color w:val="000000"/>
          <w:kern w:val="2"/>
          <w:sz w:val="32"/>
          <w:szCs w:val="32"/>
          <w:shd w:val="clear" w:color="auto" w:fill="FFFFFF"/>
        </w:rPr>
        <w:t>136</w:t>
      </w:r>
      <w:r>
        <w:rPr>
          <w:rFonts w:hint="eastAsia" w:ascii="仿宋_GB2312" w:hAnsi="仿宋_GB2312" w:eastAsia="仿宋_GB2312" w:cs="仿宋_GB2312"/>
          <w:color w:val="000000"/>
          <w:kern w:val="2"/>
          <w:sz w:val="32"/>
          <w:szCs w:val="32"/>
          <w:shd w:val="clear" w:color="auto" w:fill="FFFFFF"/>
        </w:rPr>
        <w:t>号）已收悉。现将办理情况答复如下：</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黑体" w:hAnsi="黑体" w:eastAsia="黑体" w:cs="黑体"/>
          <w:color w:val="333333"/>
          <w:sz w:val="32"/>
          <w:szCs w:val="32"/>
        </w:rPr>
      </w:pPr>
      <w:r>
        <w:rPr>
          <w:rFonts w:hint="eastAsia" w:ascii="黑体" w:hAnsi="黑体" w:eastAsia="黑体" w:cs="黑体"/>
          <w:color w:val="000000"/>
          <w:sz w:val="32"/>
          <w:szCs w:val="32"/>
          <w:shd w:val="clear" w:color="auto" w:fill="FEFEFE"/>
        </w:rPr>
        <w:t>一、我市农村“厕所革命”进展情况</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hint="eastAsia" w:ascii="仿宋_GB2312" w:hAnsi="仿宋_GB2312" w:eastAsia="仿宋_GB2312" w:cs="仿宋_GB2312"/>
          <w:color w:val="000000"/>
          <w:kern w:val="2"/>
          <w:sz w:val="32"/>
          <w:szCs w:val="32"/>
          <w:shd w:val="clear" w:color="auto" w:fill="FFFFFF"/>
        </w:rPr>
        <w:t>今年以来，按照中省关于全市农村人居环境整治工作的总体安排部署，我局积极行动，切实发挥牵头抓总作用，努力在统筹协调、推广经验、督促指导等方面下功夫，多次召开全市农村工作推进会、全市农村人居环境整治工作现场推进会、全市农村厕所革命推进会等，对全市农村人居环境整治提升行动农村户用卫生厕所摸排工作进行全面安排部署。坚持实事求是，在全面排査、摸清底数、反复论证的基础上，紧密结合市情县情，分类推进农村“厕所革命”。制定《渭南市开展“百村示范、千村整治、万户提升”工程农村厕所革命实施方案》，《渭南市农村人居环境夏季专项整治方案》《</w:t>
      </w:r>
      <w:r>
        <w:rPr>
          <w:rFonts w:ascii="仿宋_GB2312" w:hAnsi="仿宋_GB2312" w:eastAsia="仿宋_GB2312" w:cs="仿宋_GB2312"/>
          <w:color w:val="000000"/>
          <w:kern w:val="2"/>
          <w:sz w:val="32"/>
          <w:szCs w:val="32"/>
          <w:shd w:val="clear" w:color="auto" w:fill="FFFFFF"/>
        </w:rPr>
        <w:t>2021</w:t>
      </w:r>
      <w:r>
        <w:rPr>
          <w:rFonts w:hint="eastAsia" w:ascii="仿宋_GB2312" w:hAnsi="仿宋_GB2312" w:eastAsia="仿宋_GB2312" w:cs="仿宋_GB2312"/>
          <w:color w:val="000000"/>
          <w:kern w:val="2"/>
          <w:sz w:val="32"/>
          <w:szCs w:val="32"/>
          <w:shd w:val="clear" w:color="auto" w:fill="FFFFFF"/>
        </w:rPr>
        <w:t>年农村人居环境整治提升行动工作要点》《渭南市农村户厕问题摸排工作实施方案》等文件，科学设定目标，逐年分解改厕任务，分类设定模式，合理设定流程，落实资金保障，实施建档立卡，强化技术引领，开展建设使用培训，完善后续管控，试点“整村推进”，因地制宜开展改厕工作，截至</w:t>
      </w:r>
      <w:r>
        <w:rPr>
          <w:rFonts w:ascii="仿宋_GB2312" w:hAnsi="仿宋_GB2312" w:eastAsia="仿宋_GB2312" w:cs="仿宋_GB2312"/>
          <w:color w:val="000000"/>
          <w:kern w:val="2"/>
          <w:sz w:val="32"/>
          <w:szCs w:val="32"/>
          <w:shd w:val="clear" w:color="auto" w:fill="FFFFFF"/>
        </w:rPr>
        <w:t>2021</w:t>
      </w:r>
      <w:r>
        <w:rPr>
          <w:rFonts w:hint="eastAsia" w:ascii="仿宋_GB2312" w:hAnsi="仿宋_GB2312" w:eastAsia="仿宋_GB2312" w:cs="仿宋_GB2312"/>
          <w:color w:val="000000"/>
          <w:kern w:val="2"/>
          <w:sz w:val="32"/>
          <w:szCs w:val="32"/>
          <w:shd w:val="clear" w:color="auto" w:fill="FFFFFF"/>
        </w:rPr>
        <w:t>年</w:t>
      </w:r>
      <w:r>
        <w:rPr>
          <w:rFonts w:ascii="仿宋_GB2312" w:hAnsi="仿宋_GB2312" w:eastAsia="仿宋_GB2312" w:cs="仿宋_GB2312"/>
          <w:color w:val="000000"/>
          <w:kern w:val="2"/>
          <w:sz w:val="32"/>
          <w:szCs w:val="32"/>
          <w:shd w:val="clear" w:color="auto" w:fill="FFFFFF"/>
        </w:rPr>
        <w:t>6</w:t>
      </w:r>
      <w:r>
        <w:rPr>
          <w:rFonts w:hint="eastAsia" w:ascii="仿宋_GB2312" w:hAnsi="仿宋_GB2312" w:eastAsia="仿宋_GB2312" w:cs="仿宋_GB2312"/>
          <w:color w:val="000000"/>
          <w:kern w:val="2"/>
          <w:sz w:val="32"/>
          <w:szCs w:val="32"/>
          <w:shd w:val="clear" w:color="auto" w:fill="FFFFFF"/>
        </w:rPr>
        <w:t>月，全市完成农村卫生厕所改造</w:t>
      </w:r>
      <w:r>
        <w:rPr>
          <w:rFonts w:ascii="仿宋_GB2312" w:hAnsi="仿宋_GB2312" w:eastAsia="仿宋_GB2312" w:cs="仿宋_GB2312"/>
          <w:color w:val="000000"/>
          <w:kern w:val="2"/>
          <w:sz w:val="32"/>
          <w:szCs w:val="32"/>
          <w:shd w:val="clear" w:color="auto" w:fill="FFFFFF"/>
        </w:rPr>
        <w:t>55.1</w:t>
      </w:r>
      <w:r>
        <w:rPr>
          <w:rFonts w:hint="eastAsia" w:ascii="仿宋_GB2312" w:hAnsi="仿宋_GB2312" w:eastAsia="仿宋_GB2312" w:cs="仿宋_GB2312"/>
          <w:color w:val="000000"/>
          <w:kern w:val="2"/>
          <w:sz w:val="32"/>
          <w:szCs w:val="32"/>
          <w:shd w:val="clear" w:color="auto" w:fill="FFFFFF"/>
        </w:rPr>
        <w:t>万余户，合阳县、华阴市两个二类县农村卫生厕所覆盖率均达到</w:t>
      </w:r>
      <w:r>
        <w:rPr>
          <w:rFonts w:ascii="仿宋_GB2312" w:hAnsi="仿宋_GB2312" w:eastAsia="仿宋_GB2312" w:cs="仿宋_GB2312"/>
          <w:color w:val="000000"/>
          <w:kern w:val="2"/>
          <w:sz w:val="32"/>
          <w:szCs w:val="32"/>
          <w:shd w:val="clear" w:color="auto" w:fill="FFFFFF"/>
        </w:rPr>
        <w:t>85</w:t>
      </w:r>
      <w:r>
        <w:rPr>
          <w:rFonts w:hint="eastAsia" w:ascii="仿宋_GB2312" w:hAnsi="仿宋_GB2312" w:eastAsia="仿宋_GB2312" w:cs="仿宋_GB2312"/>
          <w:color w:val="000000"/>
          <w:kern w:val="2"/>
          <w:sz w:val="32"/>
          <w:szCs w:val="32"/>
          <w:shd w:val="clear" w:color="auto" w:fill="FFFFFF"/>
        </w:rPr>
        <w:t>％以上。关于您提出的目前全市厕所革命存在的问题和建议，我们深感赞同，并将您的提议结合实际工作开展情况形成方案印发各县市区人民政府，督促各县市区做好落实。</w:t>
      </w:r>
    </w:p>
    <w:p>
      <w:pPr>
        <w:pStyle w:val="6"/>
        <w:keepNext w:val="0"/>
        <w:keepLines w:val="0"/>
        <w:pageBreakBefore w:val="0"/>
        <w:widowControl/>
        <w:numPr>
          <w:ilvl w:val="0"/>
          <w:numId w:val="1"/>
        </w:numPr>
        <w:wordWrap/>
        <w:topLinePunct w:val="0"/>
        <w:autoSpaceDE/>
        <w:autoSpaceDN/>
        <w:bidi w:val="0"/>
        <w:spacing w:beforeAutospacing="0" w:afterAutospacing="0" w:line="560" w:lineRule="exact"/>
        <w:ind w:firstLine="516"/>
        <w:textAlignment w:val="auto"/>
        <w:rPr>
          <w:rFonts w:ascii="黑体" w:hAnsi="宋体" w:eastAsia="黑体" w:cs="黑体"/>
          <w:color w:val="000000"/>
          <w:sz w:val="32"/>
          <w:szCs w:val="32"/>
          <w:shd w:val="clear" w:color="auto" w:fill="FEFEFE"/>
        </w:rPr>
      </w:pPr>
      <w:r>
        <w:rPr>
          <w:rFonts w:hint="eastAsia" w:ascii="黑体" w:hAnsi="宋体" w:eastAsia="黑体" w:cs="黑体"/>
          <w:color w:val="000000"/>
          <w:sz w:val="32"/>
          <w:szCs w:val="32"/>
          <w:shd w:val="clear" w:color="auto" w:fill="FEFEFE"/>
        </w:rPr>
        <w:t>针对存在问题做好解决落实</w:t>
      </w:r>
    </w:p>
    <w:p>
      <w:pPr>
        <w:keepNext w:val="0"/>
        <w:keepLines w:val="0"/>
        <w:pageBreakBefore w:val="0"/>
        <w:kinsoku w:val="0"/>
        <w:wordWrap/>
        <w:overflowPunct w:val="0"/>
        <w:topLinePunct w:val="0"/>
        <w:autoSpaceDE/>
        <w:autoSpaceDN/>
        <w:bidi w:val="0"/>
        <w:adjustRightInd w:val="0"/>
        <w:snapToGrid w:val="0"/>
        <w:spacing w:line="560" w:lineRule="exact"/>
        <w:ind w:firstLine="643" w:firstLineChars="200"/>
        <w:jc w:val="left"/>
        <w:textAlignment w:val="auto"/>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一是</w:t>
      </w:r>
      <w:r>
        <w:rPr>
          <w:rFonts w:hint="eastAsia" w:ascii="仿宋_GB2312" w:hAnsi="仿宋_GB2312" w:eastAsia="仿宋_GB2312" w:cs="仿宋_GB2312"/>
          <w:color w:val="000000"/>
          <w:sz w:val="32"/>
          <w:szCs w:val="32"/>
          <w:shd w:val="clear" w:color="auto" w:fill="FFFFFF"/>
        </w:rPr>
        <w:t>充分利用电视、广播、报刊、微信、</w:t>
      </w:r>
      <w:r>
        <w:rPr>
          <w:rFonts w:ascii="仿宋_GB2312" w:hAnsi="仿宋_GB2312" w:eastAsia="仿宋_GB2312" w:cs="仿宋_GB2312"/>
          <w:color w:val="000000"/>
          <w:sz w:val="32"/>
          <w:szCs w:val="32"/>
          <w:shd w:val="clear" w:color="auto" w:fill="FFFFFF"/>
        </w:rPr>
        <w:t>LED</w:t>
      </w:r>
      <w:r>
        <w:rPr>
          <w:rFonts w:hint="eastAsia" w:ascii="仿宋_GB2312" w:hAnsi="仿宋_GB2312" w:eastAsia="仿宋_GB2312" w:cs="仿宋_GB2312"/>
          <w:color w:val="000000"/>
          <w:sz w:val="32"/>
          <w:szCs w:val="32"/>
          <w:shd w:val="clear" w:color="auto" w:fill="FFFFFF"/>
        </w:rPr>
        <w:t>显示屏等新媒体和悬挂标语、致农户一封信、入户动员等多种形式，积极引导教育群众知晓“厕所革命”的重要意义，激发农民的改厕积极性。</w:t>
      </w:r>
      <w:r>
        <w:rPr>
          <w:rFonts w:hint="eastAsia" w:ascii="仿宋_GB2312" w:hAnsi="仿宋_GB2312" w:eastAsia="仿宋_GB2312" w:cs="仿宋_GB2312"/>
          <w:b/>
          <w:bCs/>
          <w:color w:val="000000"/>
          <w:sz w:val="32"/>
          <w:szCs w:val="32"/>
          <w:shd w:val="clear" w:color="auto" w:fill="FFFFFF"/>
        </w:rPr>
        <w:t>二是</w:t>
      </w:r>
      <w:r>
        <w:rPr>
          <w:rFonts w:hint="eastAsia" w:ascii="仿宋_GB2312" w:hAnsi="仿宋_GB2312" w:eastAsia="仿宋_GB2312" w:cs="仿宋_GB2312"/>
          <w:color w:val="000000"/>
          <w:sz w:val="32"/>
          <w:szCs w:val="32"/>
          <w:shd w:val="clear" w:color="auto" w:fill="FFFFFF"/>
        </w:rPr>
        <w:t>充分考虑到农村农民生活习惯的改变，为了更有利的推进厕改，在实施前期，就针对农村厕所现状进行了详实的摸底和政策宣传。</w:t>
      </w:r>
      <w:r>
        <w:rPr>
          <w:rFonts w:hint="eastAsia" w:ascii="仿宋_GB2312" w:hAnsi="仿宋_GB2312" w:eastAsia="仿宋_GB2312" w:cs="仿宋_GB2312"/>
          <w:b/>
          <w:bCs/>
          <w:color w:val="000000"/>
          <w:sz w:val="32"/>
          <w:szCs w:val="32"/>
          <w:shd w:val="clear" w:color="auto" w:fill="FFFFFF"/>
        </w:rPr>
        <w:t>三是</w:t>
      </w:r>
      <w:r>
        <w:rPr>
          <w:rFonts w:hint="eastAsia" w:ascii="仿宋_GB2312" w:hAnsi="仿宋_GB2312" w:eastAsia="仿宋_GB2312" w:cs="仿宋_GB2312"/>
          <w:color w:val="000000"/>
          <w:sz w:val="32"/>
          <w:szCs w:val="32"/>
          <w:shd w:val="clear" w:color="auto" w:fill="FFFFFF"/>
        </w:rPr>
        <w:t>坚持问题导向，通过进村入户走访，发放问卷调查、召开村民会议等方式了解民生民意，主动做好宣传动员工作，极大提高了群众对“厕所革命”知晓率，取得较好的群众基础。</w:t>
      </w:r>
      <w:r>
        <w:rPr>
          <w:rFonts w:hint="eastAsia" w:ascii="仿宋_GB2312" w:hAnsi="仿宋_GB2312" w:eastAsia="仿宋_GB2312" w:cs="仿宋_GB2312"/>
          <w:b/>
          <w:bCs/>
          <w:color w:val="000000"/>
          <w:sz w:val="32"/>
          <w:szCs w:val="32"/>
          <w:shd w:val="clear" w:color="auto" w:fill="FFFFFF"/>
        </w:rPr>
        <w:t>四是</w:t>
      </w:r>
      <w:r>
        <w:rPr>
          <w:rFonts w:hint="eastAsia" w:ascii="仿宋_GB2312" w:hAnsi="仿宋_GB2312" w:eastAsia="仿宋_GB2312" w:cs="仿宋_GB2312"/>
          <w:color w:val="000000"/>
          <w:sz w:val="32"/>
          <w:szCs w:val="32"/>
          <w:shd w:val="clear" w:color="auto" w:fill="FFFFFF"/>
        </w:rPr>
        <w:t>发动党员干部、群众积极分子带头参与厕改，突出示范引领效应，群众切实感</w:t>
      </w:r>
      <w:r>
        <w:rPr>
          <w:rFonts w:hint="eastAsia" w:ascii="仿宋_GB2312" w:hAnsi="仿宋_GB2312" w:eastAsia="仿宋_GB2312" w:cs="仿宋_GB2312"/>
          <w:color w:val="000000"/>
          <w:spacing w:val="-6"/>
          <w:sz w:val="32"/>
          <w:szCs w:val="32"/>
          <w:shd w:val="clear" w:color="auto" w:fill="FFFFFF"/>
        </w:rPr>
        <w:t>受到旱厕改水厕带来的便利、卫生、舒适后，逐步参与进来</w:t>
      </w:r>
      <w:r>
        <w:rPr>
          <w:rFonts w:hint="eastAsia" w:ascii="仿宋_GB2312" w:hAnsi="仿宋_GB2312" w:eastAsia="仿宋_GB2312" w:cs="仿宋_GB2312"/>
          <w:color w:val="000000"/>
          <w:sz w:val="32"/>
          <w:szCs w:val="32"/>
          <w:shd w:val="clear" w:color="auto" w:fill="FFFFFF"/>
        </w:rPr>
        <w:t>，在多个县市区农民群众已由“要我改”，变成“我要改”。</w:t>
      </w:r>
      <w:r>
        <w:rPr>
          <w:rFonts w:hint="eastAsia" w:ascii="仿宋_GB2312" w:hAnsi="仿宋_GB2312" w:eastAsia="仿宋_GB2312" w:cs="仿宋_GB2312"/>
          <w:b/>
          <w:bCs/>
          <w:color w:val="000000"/>
          <w:sz w:val="32"/>
          <w:szCs w:val="32"/>
          <w:shd w:val="clear" w:color="auto" w:fill="FFFFFF"/>
        </w:rPr>
        <w:t>五是</w:t>
      </w:r>
      <w:r>
        <w:rPr>
          <w:rFonts w:hint="eastAsia" w:ascii="仿宋_GB2312" w:hAnsi="仿宋_GB2312" w:eastAsia="仿宋_GB2312" w:cs="仿宋_GB2312"/>
          <w:color w:val="000000"/>
          <w:sz w:val="32"/>
          <w:szCs w:val="32"/>
          <w:shd w:val="clear" w:color="auto" w:fill="FFFFFF"/>
        </w:rPr>
        <w:t>针对不同的情况，因地施策、因需施策、因户施策，就近就俭就便改造原有早厕，大力推广洁水型便器、手动冲水设施和无害化早厕，使农民用得起，用得上。</w:t>
      </w:r>
    </w:p>
    <w:p>
      <w:pPr>
        <w:keepNext w:val="0"/>
        <w:keepLines w:val="0"/>
        <w:pageBreakBefore w:val="0"/>
        <w:kinsoku w:val="0"/>
        <w:wordWrap/>
        <w:overflowPunct w:val="0"/>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合阳、华州、蒲城、华阴、澄城等加大投入农村污水处理站，坚持农村改厕与污水处理统筹考虑，一体化推进。蒲城县在镇级示范铺设</w:t>
      </w:r>
      <w:r>
        <w:rPr>
          <w:rFonts w:ascii="仿宋_GB2312" w:hAnsi="仿宋_GB2312" w:eastAsia="仿宋_GB2312" w:cs="仿宋_GB2312"/>
          <w:color w:val="000000"/>
          <w:sz w:val="32"/>
          <w:szCs w:val="32"/>
          <w:shd w:val="clear" w:color="auto" w:fill="FFFFFF"/>
        </w:rPr>
        <w:t>120</w:t>
      </w:r>
      <w:r>
        <w:rPr>
          <w:rFonts w:hint="eastAsia" w:ascii="仿宋_GB2312" w:hAnsi="仿宋_GB2312" w:eastAsia="仿宋_GB2312" w:cs="仿宋_GB2312"/>
          <w:color w:val="000000"/>
          <w:sz w:val="32"/>
          <w:szCs w:val="32"/>
          <w:shd w:val="clear" w:color="auto" w:fill="FFFFFF"/>
        </w:rPr>
        <w:t>米口径</w:t>
      </w:r>
      <w:r>
        <w:rPr>
          <w:rFonts w:ascii="仿宋_GB2312" w:hAnsi="仿宋_GB2312" w:eastAsia="仿宋_GB2312" w:cs="仿宋_GB2312"/>
          <w:color w:val="000000"/>
          <w:sz w:val="32"/>
          <w:szCs w:val="32"/>
          <w:shd w:val="clear" w:color="auto" w:fill="FFFFFF"/>
        </w:rPr>
        <w:t>300#PE</w:t>
      </w:r>
      <w:r>
        <w:rPr>
          <w:rFonts w:hint="eastAsia" w:ascii="仿宋_GB2312" w:hAnsi="仿宋_GB2312" w:eastAsia="仿宋_GB2312" w:cs="仿宋_GB2312"/>
          <w:color w:val="000000"/>
          <w:sz w:val="32"/>
          <w:szCs w:val="32"/>
          <w:shd w:val="clear" w:color="auto" w:fill="FFFFFF"/>
        </w:rPr>
        <w:t>排污管道；华州区整合美丽村庄、环境保护、生活垃圾、人居环境等各类专项资金，有序整村推进污水管网改造，实施内容包括污水及给水管网工程</w:t>
      </w:r>
      <w:r>
        <w:rPr>
          <w:rFonts w:ascii="仿宋_GB2312" w:hAnsi="仿宋_GB2312" w:eastAsia="仿宋_GB2312" w:cs="仿宋_GB2312"/>
          <w:color w:val="000000"/>
          <w:sz w:val="32"/>
          <w:szCs w:val="32"/>
          <w:shd w:val="clear" w:color="auto" w:fill="FFFFFF"/>
        </w:rPr>
        <w:t>4000m</w:t>
      </w:r>
      <w:r>
        <w:rPr>
          <w:rFonts w:hint="eastAsia" w:ascii="仿宋_GB2312" w:hAnsi="仿宋_GB2312" w:eastAsia="仿宋_GB2312" w:cs="仿宋_GB2312"/>
          <w:color w:val="000000"/>
          <w:sz w:val="32"/>
          <w:szCs w:val="32"/>
          <w:shd w:val="clear" w:color="auto" w:fill="FFFFFF"/>
        </w:rPr>
        <w:t>、加盖板雨水明沟</w:t>
      </w:r>
      <w:r>
        <w:rPr>
          <w:rFonts w:ascii="仿宋_GB2312" w:hAnsi="仿宋_GB2312" w:eastAsia="仿宋_GB2312" w:cs="仿宋_GB2312"/>
          <w:color w:val="000000"/>
          <w:sz w:val="32"/>
          <w:szCs w:val="32"/>
          <w:shd w:val="clear" w:color="auto" w:fill="FFFFFF"/>
        </w:rPr>
        <w:t>3800m</w:t>
      </w:r>
      <w:r>
        <w:rPr>
          <w:rFonts w:hint="eastAsia" w:ascii="仿宋_GB2312" w:hAnsi="仿宋_GB2312" w:eastAsia="仿宋_GB2312" w:cs="仿宋_GB2312"/>
          <w:color w:val="000000"/>
          <w:sz w:val="32"/>
          <w:szCs w:val="32"/>
          <w:shd w:val="clear" w:color="auto" w:fill="FFFFFF"/>
        </w:rPr>
        <w:t>等。有效提升排污能力。华阴市着眼于提升农村改厕群众满意度，实施农村改厕统一备案管理、统一施工标准、统一组织建设、统一检查验收。创新服务模式，聘请第三方公司，采取“划片包干、逐镇逐村”指导方式，全面提高改厕质量，确保“改一座、成一座、满意一座”。合阳县上线智能管护体系，推进厕改惠及民生。改厕摸排整改以来，针对群众反响强烈、关注度较高的问题一一进行排查、梳理、整改。管护平台的建立解决了改厕管护工作最后一公里的问题。确保厕具坏了有人修、粪污满了有人抽。对村改厕管理员和吸粪车司机进行农户改厕系统信息平台培训，从信息录入、日常管控、司机作业、服务评价等各方面做了详细的讲解和介绍。管护平台手机端操作简单，方便实用。临渭区通过深入实地调研，充分听取民意，结合村庄地形条件、风俗习惯、污水处理设施建设等因素，最终确定三种改厕模式：一是在污水管网覆盖地区，推广完整上下水道水冲式厕所；二是污水管网覆盖不到的区域，推广三格化粪池式厕所；三是农村新建住房配套建设无害化卫生厕所，推行新改建厕所进院入室。</w:t>
      </w:r>
    </w:p>
    <w:p>
      <w:pPr>
        <w:keepNext w:val="0"/>
        <w:keepLines w:val="0"/>
        <w:pageBreakBefore w:val="0"/>
        <w:kinsoku w:val="0"/>
        <w:wordWrap/>
        <w:overflowPunct w:val="0"/>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强化督查考核，坚持“一月一调度、一月一督查、一月一排名、一月一通报、一月一宣传、一月一会诊”的“六个一”督查机制，不打招呼，直入一线，直插镇、村两级明查暗访，对各乡镇工作开展情况进行督导检查，落实“督导检查</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反馈整改</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实地核查”。各县市区开展集中观摩，现场督办整改、打分评比。为确保全市“厕所革命”工作取得实效，改厕工作已纳入全市乡村振兴考核范围。</w:t>
      </w:r>
    </w:p>
    <w:p>
      <w:pPr>
        <w:pStyle w:val="6"/>
        <w:keepNext w:val="0"/>
        <w:keepLines w:val="0"/>
        <w:pageBreakBefore w:val="0"/>
        <w:widowControl/>
        <w:wordWrap/>
        <w:topLinePunct w:val="0"/>
        <w:autoSpaceDE/>
        <w:autoSpaceDN/>
        <w:bidi w:val="0"/>
        <w:spacing w:beforeAutospacing="0" w:afterAutospacing="0" w:line="560" w:lineRule="exact"/>
        <w:ind w:firstLine="516"/>
        <w:textAlignment w:val="auto"/>
        <w:rPr>
          <w:rFonts w:ascii="宋体" w:cs="宋体"/>
          <w:color w:val="333333"/>
          <w:sz w:val="32"/>
          <w:szCs w:val="32"/>
        </w:rPr>
      </w:pPr>
      <w:r>
        <w:rPr>
          <w:rFonts w:hint="eastAsia" w:ascii="黑体" w:hAnsi="宋体" w:eastAsia="黑体" w:cs="黑体"/>
          <w:color w:val="000000"/>
          <w:sz w:val="32"/>
          <w:szCs w:val="32"/>
          <w:shd w:val="clear" w:color="auto" w:fill="FEFEFE"/>
        </w:rPr>
        <w:t>三、下一步工作措施</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ascii="方正楷体简体" w:hAnsi="方正楷体简体" w:eastAsia="方正楷体简体" w:cs="方正楷体简体"/>
          <w:color w:val="333333"/>
          <w:kern w:val="2"/>
          <w:sz w:val="32"/>
          <w:szCs w:val="32"/>
          <w:shd w:val="clear" w:color="auto" w:fill="FFFFFF"/>
        </w:rPr>
        <w:t>1</w:t>
      </w:r>
      <w:r>
        <w:rPr>
          <w:rFonts w:hint="eastAsia" w:ascii="方正楷体简体" w:hAnsi="方正楷体简体" w:eastAsia="方正楷体简体" w:cs="方正楷体简体"/>
          <w:color w:val="333333"/>
          <w:kern w:val="2"/>
          <w:sz w:val="32"/>
          <w:szCs w:val="32"/>
          <w:shd w:val="clear" w:color="auto" w:fill="FFFFFF"/>
        </w:rPr>
        <w:t>、加强宣传引导，发挥农民主体作用。</w:t>
      </w:r>
      <w:r>
        <w:rPr>
          <w:rFonts w:hint="eastAsia" w:ascii="仿宋_GB2312" w:hAnsi="仿宋_GB2312" w:eastAsia="仿宋_GB2312" w:cs="仿宋_GB2312"/>
          <w:color w:val="000000"/>
          <w:kern w:val="2"/>
          <w:sz w:val="32"/>
          <w:szCs w:val="32"/>
          <w:shd w:val="clear" w:color="auto" w:fill="FFFFFF"/>
        </w:rPr>
        <w:t>进一步加大农村厕所改造宣传力度，充分利用报刊、广播、电视等新闻媒体和网络新媒体宣传造势，通过网络、媒体、标语等形式广泛宣传，让村民充分了解改厕工作的重要性，同时发挥乡镇主体作用，激发农户改厕热情，保质保量完成改厕工作。</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ascii="方正楷体简体" w:hAnsi="方正楷体简体" w:eastAsia="方正楷体简体" w:cs="方正楷体简体"/>
          <w:color w:val="333333"/>
          <w:kern w:val="2"/>
          <w:sz w:val="32"/>
          <w:szCs w:val="32"/>
          <w:shd w:val="clear" w:color="auto" w:fill="FFFFFF"/>
        </w:rPr>
        <w:t>2</w:t>
      </w:r>
      <w:r>
        <w:rPr>
          <w:rFonts w:hint="eastAsia" w:ascii="方正楷体简体" w:hAnsi="方正楷体简体" w:eastAsia="方正楷体简体" w:cs="方正楷体简体"/>
          <w:color w:val="333333"/>
          <w:kern w:val="2"/>
          <w:sz w:val="32"/>
          <w:szCs w:val="32"/>
          <w:shd w:val="clear" w:color="auto" w:fill="FFFFFF"/>
        </w:rPr>
        <w:t>、加大资金投入，全力推进项目进度。</w:t>
      </w:r>
      <w:r>
        <w:rPr>
          <w:rFonts w:hint="eastAsia" w:ascii="仿宋_GB2312" w:hAnsi="仿宋_GB2312" w:eastAsia="仿宋_GB2312" w:cs="仿宋_GB2312"/>
          <w:color w:val="000000"/>
          <w:kern w:val="2"/>
          <w:sz w:val="32"/>
          <w:szCs w:val="32"/>
          <w:shd w:val="clear" w:color="auto" w:fill="FFFFFF"/>
        </w:rPr>
        <w:t>创新资金筹措方式，在全力争取中央和自治区各类项目资金的同时，积极落实县级配套资金，鼓励企业、农户积极参与到改厕工作中，引导形成社会资本投入、农村居民适当参与的多元化投入格局。</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ascii="方正楷体简体" w:hAnsi="方正楷体简体" w:eastAsia="方正楷体简体" w:cs="方正楷体简体"/>
          <w:color w:val="333333"/>
          <w:kern w:val="2"/>
          <w:sz w:val="32"/>
          <w:szCs w:val="32"/>
          <w:shd w:val="clear" w:color="auto" w:fill="FFFFFF"/>
        </w:rPr>
        <w:t>3</w:t>
      </w:r>
      <w:r>
        <w:rPr>
          <w:rFonts w:hint="eastAsia" w:ascii="方正楷体简体" w:hAnsi="方正楷体简体" w:eastAsia="方正楷体简体" w:cs="方正楷体简体"/>
          <w:color w:val="333333"/>
          <w:kern w:val="2"/>
          <w:sz w:val="32"/>
          <w:szCs w:val="32"/>
          <w:shd w:val="clear" w:color="auto" w:fill="FFFFFF"/>
        </w:rPr>
        <w:t>、建立长效机制，确保农村改厕成果。</w:t>
      </w:r>
      <w:r>
        <w:rPr>
          <w:rFonts w:hint="eastAsia" w:ascii="仿宋_GB2312" w:hAnsi="仿宋_GB2312" w:eastAsia="仿宋_GB2312" w:cs="仿宋_GB2312"/>
          <w:color w:val="000000"/>
          <w:kern w:val="2"/>
          <w:sz w:val="32"/>
          <w:szCs w:val="32"/>
          <w:shd w:val="clear" w:color="auto" w:fill="FFFFFF"/>
        </w:rPr>
        <w:t>健全完善“市级统筹、县区主导、乡镇落实、群众参与”的工作机制，不断提炼好经验、好模式、好做法，强化制度机制建设，积极推广各县（市）区成熟模式，实现从“建起来”“用起来”到“管起来”，保证“建一个、成一个、运行一个、见效一个”。</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ascii="方正楷体简体" w:hAnsi="方正楷体简体" w:eastAsia="方正楷体简体" w:cs="方正楷体简体"/>
          <w:color w:val="333333"/>
          <w:kern w:val="2"/>
          <w:sz w:val="32"/>
          <w:szCs w:val="32"/>
          <w:shd w:val="clear" w:color="auto" w:fill="FFFFFF"/>
        </w:rPr>
        <w:t>4</w:t>
      </w:r>
      <w:r>
        <w:rPr>
          <w:rFonts w:hint="eastAsia" w:ascii="方正楷体简体" w:hAnsi="方正楷体简体" w:eastAsia="方正楷体简体" w:cs="方正楷体简体"/>
          <w:color w:val="333333"/>
          <w:kern w:val="2"/>
          <w:sz w:val="32"/>
          <w:szCs w:val="32"/>
          <w:shd w:val="clear" w:color="auto" w:fill="FFFFFF"/>
        </w:rPr>
        <w:t>、落实责任主体，加强督导检查力度。</w:t>
      </w:r>
      <w:r>
        <w:rPr>
          <w:rFonts w:hint="eastAsia" w:ascii="仿宋_GB2312" w:hAnsi="仿宋_GB2312" w:eastAsia="仿宋_GB2312" w:cs="仿宋_GB2312"/>
          <w:color w:val="000000"/>
          <w:kern w:val="2"/>
          <w:sz w:val="32"/>
          <w:szCs w:val="32"/>
          <w:shd w:val="clear" w:color="auto" w:fill="FFFFFF"/>
        </w:rPr>
        <w:t>督促各县区对照各自目标任务，层层压实责任，分片包干、责任到人，列出时间表，倒排工期、挂图作战，强化施工过程监督，严格把控改厕质量。进一步加强对“厕所革命”工作的督查力度，会同市委督查室、政府督查室，结合电视问政栏目监督平台，定期组织开展督促检查，通过实行月督查、月通报和末位约谈制度，督促工作进展慢的县市区加快进度，确保按时保质保量完成全年目标任务。</w:t>
      </w:r>
    </w:p>
    <w:p>
      <w:pPr>
        <w:pStyle w:val="6"/>
        <w:keepNext w:val="0"/>
        <w:keepLines w:val="0"/>
        <w:pageBreakBefore w:val="0"/>
        <w:widowControl/>
        <w:wordWrap/>
        <w:topLinePunct w:val="0"/>
        <w:autoSpaceDE/>
        <w:autoSpaceDN/>
        <w:bidi w:val="0"/>
        <w:spacing w:beforeAutospacing="0" w:afterAutospacing="0" w:line="560" w:lineRule="exact"/>
        <w:ind w:firstLine="640" w:firstLineChars="200"/>
        <w:textAlignment w:val="auto"/>
        <w:rPr>
          <w:rFonts w:ascii="仿宋_GB2312" w:hAnsi="仿宋_GB2312" w:eastAsia="仿宋_GB2312" w:cs="仿宋_GB2312"/>
          <w:color w:val="000000"/>
          <w:kern w:val="2"/>
          <w:sz w:val="32"/>
          <w:szCs w:val="32"/>
          <w:shd w:val="clear" w:color="auto" w:fill="FFFFFF"/>
        </w:rPr>
      </w:pPr>
      <w:r>
        <w:rPr>
          <w:rFonts w:hint="eastAsia" w:ascii="仿宋_GB2312" w:hAnsi="仿宋_GB2312" w:eastAsia="仿宋_GB2312" w:cs="仿宋_GB2312"/>
          <w:color w:val="000000"/>
          <w:kern w:val="2"/>
          <w:sz w:val="32"/>
          <w:szCs w:val="32"/>
          <w:shd w:val="clear" w:color="auto" w:fill="FFFFFF"/>
        </w:rPr>
        <w:t>感谢</w:t>
      </w:r>
      <w:r>
        <w:rPr>
          <w:rFonts w:hint="eastAsia" w:ascii="仿宋_GB2312" w:hAnsi="仿宋_GB2312" w:eastAsia="仿宋_GB2312" w:cs="仿宋_GB2312"/>
          <w:color w:val="000000"/>
          <w:kern w:val="2"/>
          <w:sz w:val="32"/>
          <w:szCs w:val="32"/>
          <w:shd w:val="clear" w:color="auto" w:fill="FFFFFF"/>
          <w:lang w:val="en-US" w:eastAsia="zh-CN"/>
        </w:rPr>
        <w:t>贵单位</w:t>
      </w:r>
      <w:r>
        <w:rPr>
          <w:rFonts w:hint="eastAsia" w:ascii="仿宋_GB2312" w:hAnsi="仿宋_GB2312" w:eastAsia="仿宋_GB2312" w:cs="仿宋_GB2312"/>
          <w:color w:val="000000"/>
          <w:kern w:val="2"/>
          <w:sz w:val="32"/>
          <w:szCs w:val="32"/>
          <w:shd w:val="clear" w:color="auto" w:fill="FFFFFF"/>
        </w:rPr>
        <w:t>长期以来对农业农村工作的关心和支持，真诚欢迎一如既往地支持农业农村工作，多提宝贵意见和建议。</w:t>
      </w:r>
    </w:p>
    <w:p>
      <w:pPr>
        <w:pStyle w:val="6"/>
        <w:widowControl/>
        <w:spacing w:beforeAutospacing="0" w:afterAutospacing="0" w:line="492" w:lineRule="atLeast"/>
        <w:ind w:firstLine="516"/>
        <w:jc w:val="center"/>
        <w:rPr>
          <w:rFonts w:ascii="仿宋_GB2312" w:hAnsi="仿宋_GB2312" w:eastAsia="仿宋_GB2312" w:cs="仿宋_GB2312"/>
          <w:color w:val="000000"/>
          <w:kern w:val="2"/>
          <w:sz w:val="32"/>
          <w:szCs w:val="32"/>
          <w:shd w:val="clear" w:color="auto" w:fill="FFFFFF"/>
        </w:rPr>
      </w:pPr>
      <w:r>
        <w:rPr>
          <w:rFonts w:ascii="仿宋_GB2312" w:hAnsi="仿宋_GB2312" w:eastAsia="仿宋_GB2312" w:cs="仿宋_GB2312"/>
          <w:color w:val="000000"/>
          <w:kern w:val="2"/>
          <w:sz w:val="32"/>
          <w:szCs w:val="32"/>
          <w:shd w:val="clear" w:color="auto" w:fill="FFFFFF"/>
        </w:rPr>
        <w:t xml:space="preserve">                      </w:t>
      </w:r>
    </w:p>
    <w:p>
      <w:pPr>
        <w:pStyle w:val="6"/>
        <w:widowControl/>
        <w:spacing w:beforeAutospacing="0" w:afterAutospacing="0" w:line="492" w:lineRule="atLeast"/>
        <w:ind w:firstLine="516"/>
        <w:jc w:val="center"/>
        <w:rPr>
          <w:rFonts w:ascii="仿宋_GB2312" w:hAnsi="仿宋_GB2312" w:eastAsia="仿宋_GB2312" w:cs="仿宋_GB2312"/>
          <w:color w:val="000000"/>
          <w:kern w:val="2"/>
          <w:sz w:val="32"/>
          <w:szCs w:val="32"/>
          <w:shd w:val="clear" w:color="auto" w:fill="FFFFFF"/>
        </w:rPr>
      </w:pPr>
    </w:p>
    <w:p>
      <w:pPr>
        <w:pStyle w:val="6"/>
        <w:widowControl/>
        <w:spacing w:beforeAutospacing="0" w:afterAutospacing="0" w:line="492" w:lineRule="atLeast"/>
        <w:ind w:firstLine="516"/>
        <w:jc w:val="center"/>
        <w:rPr>
          <w:rFonts w:ascii="仿宋_GB2312" w:hAnsi="仿宋_GB2312" w:eastAsia="仿宋_GB2312" w:cs="仿宋_GB2312"/>
          <w:color w:val="000000"/>
          <w:kern w:val="2"/>
          <w:sz w:val="32"/>
          <w:szCs w:val="32"/>
          <w:shd w:val="clear" w:color="auto" w:fill="FFFFFF"/>
        </w:rPr>
      </w:pPr>
      <w:r>
        <w:rPr>
          <w:rFonts w:hint="eastAsia" w:ascii="仿宋_GB2312" w:hAnsi="仿宋_GB2312" w:eastAsia="仿宋_GB2312" w:cs="仿宋_GB2312"/>
          <w:color w:val="000000"/>
          <w:kern w:val="2"/>
          <w:sz w:val="32"/>
          <w:szCs w:val="32"/>
          <w:shd w:val="clear" w:color="auto" w:fill="FFFFFF"/>
          <w:lang w:val="en-US" w:eastAsia="zh-CN"/>
        </w:rPr>
        <w:t xml:space="preserve">                      </w:t>
      </w:r>
      <w:r>
        <w:rPr>
          <w:rFonts w:hint="eastAsia" w:ascii="仿宋_GB2312" w:hAnsi="仿宋_GB2312" w:eastAsia="仿宋_GB2312" w:cs="仿宋_GB2312"/>
          <w:color w:val="000000"/>
          <w:kern w:val="2"/>
          <w:sz w:val="32"/>
          <w:szCs w:val="32"/>
          <w:shd w:val="clear" w:color="auto" w:fill="FFFFFF"/>
        </w:rPr>
        <w:t>渭南市农业农村局</w:t>
      </w:r>
    </w:p>
    <w:p>
      <w:pPr>
        <w:pStyle w:val="6"/>
        <w:widowControl/>
        <w:spacing w:beforeAutospacing="0" w:afterAutospacing="0" w:line="492" w:lineRule="atLeast"/>
        <w:ind w:firstLine="516"/>
        <w:jc w:val="center"/>
        <w:rPr>
          <w:rFonts w:ascii="仿宋_GB2312" w:hAnsi="仿宋_GB2312" w:eastAsia="仿宋_GB2312" w:cs="仿宋_GB2312"/>
          <w:sz w:val="32"/>
          <w:szCs w:val="32"/>
        </w:rPr>
      </w:pPr>
      <w:r>
        <w:rPr>
          <w:rFonts w:ascii="仿宋_GB2312" w:hAnsi="仿宋_GB2312" w:eastAsia="仿宋_GB2312" w:cs="仿宋_GB2312"/>
          <w:color w:val="000000"/>
          <w:kern w:val="2"/>
          <w:sz w:val="32"/>
          <w:szCs w:val="32"/>
          <w:shd w:val="clear" w:color="auto" w:fill="FFFFFF"/>
        </w:rPr>
        <w:t xml:space="preserve">                       2021</w:t>
      </w:r>
      <w:r>
        <w:rPr>
          <w:rFonts w:hint="eastAsia" w:ascii="仿宋_GB2312" w:hAnsi="仿宋_GB2312" w:eastAsia="仿宋_GB2312" w:cs="仿宋_GB2312"/>
          <w:color w:val="000000"/>
          <w:kern w:val="2"/>
          <w:sz w:val="32"/>
          <w:szCs w:val="32"/>
          <w:shd w:val="clear" w:color="auto" w:fill="FFFFFF"/>
        </w:rPr>
        <w:t>年</w:t>
      </w:r>
      <w:r>
        <w:rPr>
          <w:rFonts w:ascii="仿宋_GB2312" w:hAnsi="仿宋_GB2312" w:eastAsia="仿宋_GB2312" w:cs="仿宋_GB2312"/>
          <w:color w:val="000000"/>
          <w:kern w:val="2"/>
          <w:sz w:val="32"/>
          <w:szCs w:val="32"/>
          <w:shd w:val="clear" w:color="auto" w:fill="FFFFFF"/>
        </w:rPr>
        <w:t>7</w:t>
      </w:r>
      <w:r>
        <w:rPr>
          <w:rFonts w:hint="eastAsia" w:ascii="仿宋_GB2312" w:hAnsi="仿宋_GB2312" w:eastAsia="仿宋_GB2312" w:cs="仿宋_GB2312"/>
          <w:color w:val="000000"/>
          <w:kern w:val="2"/>
          <w:sz w:val="32"/>
          <w:szCs w:val="32"/>
          <w:shd w:val="clear" w:color="auto" w:fill="FFFFFF"/>
        </w:rPr>
        <w:t>月</w:t>
      </w:r>
      <w:r>
        <w:rPr>
          <w:rFonts w:ascii="仿宋_GB2312" w:hAnsi="仿宋_GB2312" w:eastAsia="仿宋_GB2312" w:cs="仿宋_GB2312"/>
          <w:color w:val="000000"/>
          <w:kern w:val="2"/>
          <w:sz w:val="32"/>
          <w:szCs w:val="32"/>
          <w:shd w:val="clear" w:color="auto" w:fill="FFFFFF"/>
        </w:rPr>
        <w:t>14</w:t>
      </w:r>
      <w:r>
        <w:rPr>
          <w:rFonts w:hint="eastAsia" w:ascii="仿宋_GB2312" w:hAnsi="仿宋_GB2312" w:eastAsia="仿宋_GB2312" w:cs="仿宋_GB2312"/>
          <w:color w:val="000000"/>
          <w:kern w:val="2"/>
          <w:sz w:val="32"/>
          <w:szCs w:val="32"/>
          <w:shd w:val="clear" w:color="auto" w:fill="FFFFFF"/>
        </w:rPr>
        <w:t>日</w:t>
      </w:r>
    </w:p>
    <w:p>
      <w:pPr>
        <w:pStyle w:val="6"/>
        <w:widowControl/>
        <w:spacing w:beforeAutospacing="0" w:afterAutospacing="0" w:line="492"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孟  甲</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293040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pStyle w:val="6"/>
        <w:widowControl/>
        <w:spacing w:beforeAutospacing="0" w:afterAutospacing="0" w:line="492" w:lineRule="atLeast"/>
        <w:rPr>
          <w:rFonts w:hint="eastAsia" w:ascii="仿宋_GB2312" w:hAnsi="仿宋_GB2312" w:eastAsia="仿宋_GB2312" w:cs="仿宋_GB2312"/>
          <w:sz w:val="32"/>
          <w:szCs w:val="32"/>
        </w:rPr>
      </w:pPr>
    </w:p>
    <w:p>
      <w:pPr>
        <w:pStyle w:val="6"/>
        <w:widowControl/>
        <w:spacing w:beforeAutospacing="0" w:afterAutospacing="0" w:line="492" w:lineRule="atLeast"/>
        <w:rPr>
          <w:rFonts w:hint="eastAsia" w:ascii="仿宋_GB2312" w:hAnsi="仿宋_GB2312" w:eastAsia="仿宋_GB2312" w:cs="仿宋_GB2312"/>
          <w:sz w:val="32"/>
          <w:szCs w:val="32"/>
        </w:rPr>
      </w:pPr>
    </w:p>
    <w:p>
      <w:pPr>
        <w:pStyle w:val="6"/>
        <w:widowControl/>
        <w:spacing w:beforeAutospacing="0" w:afterAutospacing="0" w:line="492" w:lineRule="atLeast"/>
        <w:rPr>
          <w:rFonts w:hint="eastAsia" w:ascii="仿宋_GB2312" w:hAnsi="仿宋_GB2312" w:eastAsia="仿宋_GB2312" w:cs="仿宋_GB2312"/>
          <w:sz w:val="32"/>
          <w:szCs w:val="32"/>
        </w:rPr>
      </w:pPr>
    </w:p>
    <w:p>
      <w:pPr>
        <w:pStyle w:val="6"/>
        <w:widowControl/>
        <w:spacing w:beforeAutospacing="0" w:afterAutospacing="0" w:line="492" w:lineRule="atLeast"/>
        <w:rPr>
          <w:rFonts w:hint="eastAsia" w:ascii="仿宋_GB2312" w:hAnsi="仿宋_GB2312" w:eastAsia="仿宋_GB2312" w:cs="仿宋_GB2312"/>
          <w:sz w:val="32"/>
          <w:szCs w:val="32"/>
        </w:rPr>
      </w:pPr>
    </w:p>
    <w:p>
      <w:pPr>
        <w:pStyle w:val="6"/>
        <w:widowControl/>
        <w:spacing w:beforeAutospacing="0" w:afterAutospacing="0" w:line="492" w:lineRule="atLeast"/>
        <w:rPr>
          <w:rFonts w:hint="eastAsia" w:ascii="仿宋_GB2312" w:hAnsi="仿宋_GB2312" w:eastAsia="仿宋_GB2312" w:cs="仿宋_GB2312"/>
          <w:sz w:val="32"/>
          <w:szCs w:val="32"/>
        </w:rPr>
      </w:pPr>
    </w:p>
    <w:tbl>
      <w:tblPr>
        <w:tblStyle w:val="7"/>
        <w:tblpPr w:leftFromText="180" w:rightFromText="180" w:vertAnchor="text" w:horzAnchor="margin" w:tblpY="361"/>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9060" w:type="dxa"/>
            <w:noWrap w:val="0"/>
            <w:vAlign w:val="center"/>
          </w:tcPr>
          <w:p>
            <w:pPr>
              <w:widowControl/>
              <w:ind w:firstLine="280" w:firstLineChars="100"/>
              <w:rPr>
                <w:rFonts w:ascii="仿宋_GB2312" w:eastAsia="仿宋_GB2312"/>
                <w:sz w:val="28"/>
                <w:szCs w:val="28"/>
              </w:rPr>
            </w:pPr>
            <w:r>
              <w:rPr>
                <w:rFonts w:hint="eastAsia" w:ascii="仿宋_GB2312" w:eastAsia="仿宋_GB2312"/>
                <w:sz w:val="28"/>
                <w:szCs w:val="28"/>
              </w:rPr>
              <w:t>抄送：市政府办公室，市政协提案工作委员会。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9060" w:type="dxa"/>
            <w:noWrap w:val="0"/>
            <w:vAlign w:val="center"/>
          </w:tcPr>
          <w:p>
            <w:pPr>
              <w:widowControl/>
              <w:ind w:firstLine="280" w:firstLineChars="100"/>
              <w:rPr>
                <w:rFonts w:ascii="仿宋_GB2312" w:eastAsia="仿宋_GB2312"/>
                <w:sz w:val="28"/>
                <w:szCs w:val="28"/>
              </w:rPr>
            </w:pPr>
            <w:r>
              <w:rPr>
                <w:rFonts w:hint="eastAsia" w:ascii="仿宋_GB2312" w:eastAsia="仿宋_GB2312"/>
                <w:sz w:val="28"/>
                <w:szCs w:val="28"/>
              </w:rPr>
              <w:t>渭南市农业农村局办公室               2021年7月14日印发</w:t>
            </w:r>
          </w:p>
        </w:tc>
      </w:tr>
    </w:tbl>
    <w:p>
      <w:pPr>
        <w:rPr>
          <w:rFonts w:ascii="仿宋_GB2312" w:hAnsi="仿宋_GB2312" w:eastAsia="仿宋_GB2312" w:cs="仿宋_GB2312"/>
          <w:color w:val="333333"/>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楷体_GB2312"/>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919A5"/>
    <w:multiLevelType w:val="singleLevel"/>
    <w:tmpl w:val="9D3919A5"/>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09D"/>
    <w:rsid w:val="002B32C6"/>
    <w:rsid w:val="005930D6"/>
    <w:rsid w:val="0092309D"/>
    <w:rsid w:val="00BD047E"/>
    <w:rsid w:val="00F70365"/>
    <w:rsid w:val="072044CC"/>
    <w:rsid w:val="0BB45E5A"/>
    <w:rsid w:val="0D6B6579"/>
    <w:rsid w:val="1BD24033"/>
    <w:rsid w:val="31E85BCD"/>
    <w:rsid w:val="3EAE2B57"/>
    <w:rsid w:val="43CC3FD6"/>
    <w:rsid w:val="48820924"/>
    <w:rsid w:val="544B6B66"/>
    <w:rsid w:val="5B0F4FCC"/>
    <w:rsid w:val="67CC7002"/>
    <w:rsid w:val="6B395CF0"/>
    <w:rsid w:val="774E7D70"/>
    <w:rsid w:val="7A9E12A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9"/>
    <w:qFormat/>
    <w:uiPriority w:val="99"/>
    <w:pPr>
      <w:spacing w:beforeAutospacing="1" w:afterAutospacing="1"/>
      <w:jc w:val="left"/>
      <w:outlineLvl w:val="0"/>
    </w:pPr>
    <w:rPr>
      <w:rFonts w:ascii="宋体" w:hAnsi="宋体"/>
      <w:b/>
      <w:kern w:val="44"/>
      <w:sz w:val="48"/>
      <w:szCs w:val="48"/>
    </w:rPr>
  </w:style>
  <w:style w:type="paragraph" w:styleId="4">
    <w:name w:val="heading 3"/>
    <w:basedOn w:val="1"/>
    <w:next w:val="1"/>
    <w:link w:val="10"/>
    <w:qFormat/>
    <w:uiPriority w:val="99"/>
    <w:pPr>
      <w:spacing w:beforeAutospacing="1" w:afterAutospacing="1"/>
      <w:jc w:val="left"/>
      <w:outlineLvl w:val="2"/>
    </w:pPr>
    <w:rPr>
      <w:rFonts w:ascii="宋体" w:hAnsi="宋体"/>
      <w:b/>
      <w:kern w:val="0"/>
      <w:sz w:val="27"/>
      <w:szCs w:val="27"/>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1"/>
    <w:qFormat/>
    <w:uiPriority w:val="99"/>
    <w:pPr>
      <w:spacing w:before="240" w:after="60"/>
      <w:jc w:val="center"/>
      <w:outlineLvl w:val="0"/>
    </w:pPr>
    <w:rPr>
      <w:rFonts w:ascii="Arial" w:hAnsi="Arial"/>
      <w:b/>
      <w:sz w:val="44"/>
    </w:rPr>
  </w:style>
  <w:style w:type="paragraph" w:styleId="5">
    <w:name w:val="Normal Indent"/>
    <w:basedOn w:val="1"/>
    <w:uiPriority w:val="99"/>
    <w:pPr>
      <w:ind w:firstLine="420" w:firstLineChars="200"/>
    </w:pPr>
  </w:style>
  <w:style w:type="paragraph" w:styleId="6">
    <w:name w:val="Normal (Web)"/>
    <w:basedOn w:val="1"/>
    <w:uiPriority w:val="99"/>
    <w:pPr>
      <w:spacing w:beforeAutospacing="1" w:afterAutospacing="1"/>
      <w:jc w:val="left"/>
    </w:pPr>
    <w:rPr>
      <w:kern w:val="0"/>
      <w:sz w:val="24"/>
    </w:rPr>
  </w:style>
  <w:style w:type="character" w:customStyle="1" w:styleId="9">
    <w:name w:val="Heading 1 Char"/>
    <w:basedOn w:val="8"/>
    <w:link w:val="3"/>
    <w:uiPriority w:val="9"/>
    <w:rPr>
      <w:rFonts w:ascii="Calibri" w:hAnsi="Calibri"/>
      <w:b/>
      <w:bCs/>
      <w:kern w:val="44"/>
      <w:sz w:val="44"/>
      <w:szCs w:val="44"/>
    </w:rPr>
  </w:style>
  <w:style w:type="character" w:customStyle="1" w:styleId="10">
    <w:name w:val="Heading 3 Char"/>
    <w:basedOn w:val="8"/>
    <w:link w:val="4"/>
    <w:semiHidden/>
    <w:uiPriority w:val="9"/>
    <w:rPr>
      <w:rFonts w:ascii="Calibri" w:hAnsi="Calibri"/>
      <w:b/>
      <w:bCs/>
      <w:sz w:val="32"/>
      <w:szCs w:val="32"/>
    </w:rPr>
  </w:style>
  <w:style w:type="character" w:customStyle="1" w:styleId="11">
    <w:name w:val="Title Char"/>
    <w:basedOn w:val="8"/>
    <w:link w:val="2"/>
    <w:qFormat/>
    <w:uiPriority w:val="10"/>
    <w:rPr>
      <w:rFonts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380</Words>
  <Characters>2168</Characters>
  <Lines>0</Lines>
  <Paragraphs>0</Paragraphs>
  <TotalTime>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2021-07-14T00:41:00Z</dcterms:created>
  <dc:creator>Administrator</dc:creator>
  <cp:lastModifiedBy>user</cp:lastModifiedBy>
  <cp:lastPrinted>2021-08-02T10:39:00Z</cp:lastPrinted>
  <dcterms:modified xsi:type="dcterms:W3CDTF">2021-08-06T02:55:01Z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568830434_btnclosed</vt:lpwstr>
  </property>
  <property fmtid="{D5CDD505-2E9C-101B-9397-08002B2CF9AE}" pid="4" name="ICV">
    <vt:lpwstr>09C4732AC5774FADAFC8F42524F5CD61</vt:lpwstr>
  </property>
</Properties>
</file>