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_GB2312" w:hAnsi="方正小标宋简体" w:eastAsia="仿宋_GB2312" w:cs="方正小标宋简体"/>
          <w:sz w:val="32"/>
          <w:szCs w:val="32"/>
        </w:rPr>
      </w:pPr>
    </w:p>
    <w:p>
      <w:pPr>
        <w:spacing w:line="600" w:lineRule="exact"/>
        <w:rPr>
          <w:rFonts w:hint="eastAsia" w:ascii="仿宋_GB2312" w:hAnsi="方正小标宋简体" w:eastAsia="仿宋_GB2312" w:cs="方正小标宋简体"/>
          <w:sz w:val="32"/>
          <w:szCs w:val="32"/>
        </w:rPr>
      </w:pP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hint="eastAsia" w:ascii="楷体_GB2312" w:hAnsi="楷体_GB2312" w:eastAsia="楷体_GB2312" w:cs="楷体_GB2312"/>
          <w:sz w:val="32"/>
          <w:szCs w:val="32"/>
          <w:lang w:eastAsia="zh-CN"/>
        </w:rPr>
        <w:t>陈</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飞</w:t>
      </w:r>
      <w:r>
        <w:rPr>
          <w:rFonts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渭</w:t>
      </w:r>
      <w:r>
        <w:rPr>
          <w:rFonts w:hint="eastAsia" w:ascii="仿宋_GB2312" w:eastAsia="仿宋_GB2312"/>
          <w:sz w:val="32"/>
          <w:szCs w:val="32"/>
          <w:lang w:eastAsia="zh-CN"/>
        </w:rPr>
        <w:t>农</w:t>
      </w:r>
      <w:r>
        <w:rPr>
          <w:rFonts w:hint="eastAsia" w:ascii="仿宋_GB2312" w:eastAsia="仿宋_GB2312"/>
          <w:sz w:val="32"/>
          <w:szCs w:val="32"/>
        </w:rPr>
        <w:t>函〔</w:t>
      </w:r>
      <w:r>
        <w:rPr>
          <w:rFonts w:ascii="仿宋_GB2312" w:eastAsia="仿宋_GB2312"/>
          <w:sz w:val="32"/>
          <w:szCs w:val="32"/>
        </w:rPr>
        <w:t>20</w:t>
      </w:r>
      <w:r>
        <w:rPr>
          <w:rFonts w:hint="eastAsia" w:ascii="仿宋_GB2312" w:eastAsia="仿宋_GB2312"/>
          <w:sz w:val="32"/>
          <w:szCs w:val="32"/>
        </w:rPr>
        <w:t>21〕</w:t>
      </w:r>
      <w:r>
        <w:rPr>
          <w:rFonts w:hint="eastAsia" w:ascii="仿宋_GB2312" w:eastAsia="仿宋_GB2312"/>
          <w:sz w:val="32"/>
          <w:szCs w:val="32"/>
          <w:lang w:val="en-US" w:eastAsia="zh-CN"/>
        </w:rPr>
        <w:t>137</w:t>
      </w:r>
      <w:r>
        <w:rPr>
          <w:rFonts w:hint="eastAsia" w:ascii="仿宋_GB2312" w:eastAsia="仿宋_GB2312"/>
          <w:sz w:val="32"/>
          <w:szCs w:val="32"/>
        </w:rPr>
        <w:t>号</w:t>
      </w:r>
    </w:p>
    <w:p>
      <w:pPr>
        <w:spacing w:line="600" w:lineRule="exact"/>
        <w:jc w:val="center"/>
        <w:rPr>
          <w:rFonts w:hint="eastAsia" w:ascii="方正小标宋简体" w:eastAsia="方正小标宋简体"/>
          <w:sz w:val="44"/>
          <w:szCs w:val="44"/>
        </w:rPr>
      </w:pP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渭南市农业农村局</w:t>
      </w: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关于</w:t>
      </w:r>
      <w:r>
        <w:rPr>
          <w:rFonts w:hint="eastAsia" w:ascii="方正小标宋简体" w:eastAsia="方正小标宋简体"/>
          <w:sz w:val="44"/>
          <w:szCs w:val="44"/>
        </w:rPr>
        <w:t>对市五届政协六次会议第</w:t>
      </w:r>
      <w:r>
        <w:rPr>
          <w:rFonts w:hint="eastAsia" w:ascii="方正小标宋简体" w:eastAsia="方正小标宋简体"/>
          <w:sz w:val="44"/>
          <w:szCs w:val="44"/>
          <w:lang w:val="en-US" w:eastAsia="zh-CN"/>
        </w:rPr>
        <w:t>229</w:t>
      </w:r>
      <w:r>
        <w:rPr>
          <w:rFonts w:hint="eastAsia" w:ascii="方正小标宋简体" w:eastAsia="方正小标宋简体"/>
          <w:sz w:val="44"/>
          <w:szCs w:val="44"/>
        </w:rPr>
        <w:t>号</w:t>
      </w: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提案的复函</w:t>
      </w:r>
    </w:p>
    <w:p>
      <w:pPr>
        <w:keepNext w:val="0"/>
        <w:keepLines w:val="0"/>
        <w:pageBreakBefore w:val="0"/>
        <w:widowControl w:val="0"/>
        <w:kinsoku/>
        <w:wordWrap/>
        <w:overflowPunct/>
        <w:topLinePunct w:val="0"/>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lang w:eastAsia="zh-CN"/>
        </w:rPr>
        <w:t>渭南市工商联</w:t>
      </w:r>
      <w:r>
        <w:rPr>
          <w:rFonts w:hint="eastAsia" w:ascii="仿宋_GB2312" w:eastAsia="仿宋_GB2312"/>
          <w:sz w:val="32"/>
          <w:szCs w:val="32"/>
        </w:rPr>
        <w:t>：</w:t>
      </w:r>
      <w:r>
        <w:rPr>
          <w:rFonts w:ascii="仿宋_GB2312" w:eastAsia="仿宋_GB2312"/>
          <w:sz w:val="32"/>
          <w:szCs w:val="32"/>
        </w:rPr>
        <w:t xml:space="preserve"> </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您提出的《关于加快推进苹果产业高质量发展的提案》（第</w:t>
      </w:r>
      <w:r>
        <w:rPr>
          <w:rFonts w:hint="eastAsia" w:ascii="仿宋_GB2312" w:eastAsia="仿宋_GB2312"/>
          <w:sz w:val="32"/>
          <w:szCs w:val="32"/>
          <w:lang w:val="en-US" w:eastAsia="zh-CN"/>
        </w:rPr>
        <w:t>229</w:t>
      </w:r>
      <w:r>
        <w:rPr>
          <w:rFonts w:hint="eastAsia" w:ascii="仿宋_GB2312" w:eastAsia="仿宋_GB2312"/>
          <w:sz w:val="32"/>
          <w:szCs w:val="32"/>
        </w:rPr>
        <w:t>号）收悉。现答复如下：</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近年来，我们立足渭南独特的果业资源禀赋，着力提高果品质量效益和竞争力，努力促进果农持续增收，全面推动果业高质量建设。</w:t>
      </w:r>
      <w:r>
        <w:rPr>
          <w:rFonts w:hint="eastAsia" w:ascii="仿宋_GB2312" w:eastAsia="仿宋_GB2312"/>
          <w:sz w:val="32"/>
          <w:szCs w:val="32"/>
          <w:lang w:val="zh-CN"/>
        </w:rPr>
        <w:t>目前，全市水果总面积314.6万亩，总产量358.1万吨，分别占陕西省1/5和1/4。</w:t>
      </w:r>
      <w:r>
        <w:rPr>
          <w:rFonts w:hint="eastAsia" w:ascii="仿宋_GB2312" w:eastAsia="仿宋_GB2312"/>
          <w:sz w:val="32"/>
          <w:szCs w:val="32"/>
        </w:rPr>
        <w:t>水果产值近260亿元，为农民人均纯收入贡献5000多元。现已形成以白水为代表的渭北优质苹果基地，以蒲城为代表的中部优质梨基地，以大荔为代表的黄渭洛三河沿岸优质冬枣基地，以临渭、合阳为代表的优质葡萄基地，以澄城为代表的优质樱桃基地和以潼关为代表的优质软籽石榴及其他时令水果基地等六大特色优质果品基地。先后被授予“中国苹果之乡”“中国酥梨之乡”“中国枣乡”“中国葡萄之乡”“中国柿乡”等美誉，基本形成“一县一品”“一县一业”的特色果业区域布局。果业已成为实施乡村振兴产业兴旺的首位产业。</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本提案中提到的苹果生产组织方式落后、种植成本高、新品种推广力度不够、产业体系不健全等问题仍是制约我市果业高质量发展的瓶颈问题，针对这些亟待解决的问题，结合我市果业生产实际，我们在果业生产、果品销售、加工等各环节发现问题并逐步改善。</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结合本提案中您提出的五条建议，我们认真制定措施，切实做好贯彻落实。在果业规划制定、新优技术及新品种推广、冷链物流体系建设及果品深加工及苹果物流网络建设等方面采取有效措施，全面推动我市果业高质高效发展。</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黑体" w:hAnsi="黑体" w:eastAsia="黑体" w:cs="黑体"/>
          <w:sz w:val="32"/>
          <w:szCs w:val="32"/>
        </w:rPr>
        <w:t>一是制定果业发展规划，继续加大政策扶持力度。</w:t>
      </w:r>
      <w:r>
        <w:rPr>
          <w:rFonts w:hint="eastAsia" w:ascii="仿宋_GB2312" w:eastAsia="仿宋_GB2312"/>
          <w:sz w:val="32"/>
          <w:szCs w:val="32"/>
        </w:rPr>
        <w:t>2013年至今，市委、市政府先后印发了《关于建设陕西现代果业强市的意见》《关于实施水果区域公用品牌的意见》和《渭南市（2013—2020年）陕西现代果业强市规划》。《实施渭南水果区域公用品牌提升计划的通知》制定年度目标和工作方案，围绕“果业强、果农富、果乡美”的发展目标，加快现代果业发展。</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今年3月份以来，在巩固脱贫攻坚成果同乡村振兴有效衔接的关键时期，市委、市政府对推动果业高质量发展高度重视，将果业作为我市乡村振兴产业兴旺的重要支撑，我们正在编制《渭南市乡村振兴果业发展规划》（简称《规划》），进一步明晰果业发展思路、重点任务、资源配置、加大政策项目支持力度，持续推动我市果业高质量发展。</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黑体" w:hAnsi="黑体" w:eastAsia="黑体" w:cs="黑体"/>
          <w:sz w:val="32"/>
          <w:szCs w:val="32"/>
        </w:rPr>
        <w:t>二是加快新品种推广和试验示范。</w:t>
      </w:r>
      <w:r>
        <w:rPr>
          <w:rFonts w:hint="eastAsia" w:ascii="仿宋_GB2312" w:eastAsia="仿宋_GB2312"/>
          <w:sz w:val="32"/>
          <w:szCs w:val="32"/>
        </w:rPr>
        <w:t>近年来，我们按照增早、扩中、控晚的原则，积极发展新优品种，持续优化水果品种结构，实现区域化布局。提升苗木育、繁、推现代化水平和脱毒优质苗木使用率，因地制宜推广以瑞香红苹果、阳光玫瑰、克伦生葡萄、萨米脱、奇早樱桃 、瑞玉、金农2号猕猴桃， 岳渎红软籽石榴等新优品种，2021年，全市建改新品种果园3.3万亩。改造低效果园10万亩，实现低效果园改造与品种换代相统一。强化“一镇一村”示范引领，建设市级果业新品种示范推广重点县。充分发挥我市12个果品试验站技术平台优势，重点围绕产业突出问题开展新技术、新模式等关键技术研发。构建“首席专家+首位产业+现代园区”的科创模式，开展实用技术的集成、转化、应用。今年以来，市农业农村局将2021年果业高质量发展工作任务纳入乡村振兴目标责任考核体系予以推进，在品种区域布局、果园有机质提升、高质高效果园创建、果品品牌营销等环节整体推进，下发了果业高质量发展任务清单，细化目标，夯实责任，实行月小结、季通报的考核制度，全力促进工作落实。</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黑体" w:hAnsi="黑体" w:eastAsia="黑体" w:cs="黑体"/>
          <w:sz w:val="32"/>
          <w:szCs w:val="32"/>
        </w:rPr>
        <w:t>三是加强冷链物流建设和果品深加工，延长产业链条，增加附加值。</w:t>
      </w:r>
      <w:r>
        <w:rPr>
          <w:rFonts w:hint="eastAsia" w:ascii="仿宋_GB2312" w:eastAsia="仿宋_GB2312"/>
          <w:sz w:val="32"/>
          <w:szCs w:val="32"/>
        </w:rPr>
        <w:t>目前，我市建成果品初加工生产线142条，4.0智能选果线6条（其中苹果5条，冬枣1条）。果汁加工年设计生产能力30万吨，果品贮藏能力109.9万吨。我们不断加强冷链设备及储藏库提升改造，建设一批4.0选果线为主的技改工程，充分利用大数据、物联网等现代农业信息化技术，提升果业现代化、智慧化水平。不断强化果品精深加工，支持果品加工向多品类、多功能方向发展，提高果品加工率，提高果品附加值，延长产业链条。围绕“果业+”(电商、休闲观光旅游、科研科普、保险、苹果期货）等，促进果业一二三产业融合发展，形成运作规范、便捷高效的产加销、贸工农一体化的现代果业发展体系。</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黑体" w:hAnsi="黑体" w:eastAsia="黑体" w:cs="黑体"/>
          <w:sz w:val="32"/>
          <w:szCs w:val="32"/>
        </w:rPr>
        <w:t>四是拓展销售模式，做好线上线下融合发展。</w:t>
      </w:r>
      <w:r>
        <w:rPr>
          <w:rFonts w:hint="eastAsia" w:ascii="仿宋_GB2312" w:eastAsia="仿宋_GB2312"/>
          <w:sz w:val="32"/>
          <w:szCs w:val="32"/>
        </w:rPr>
        <w:t>为应对疫情常态化防控要求，我们大力发展电子商务，拍卖、果品期货交易等现代流通方式和新型物流业态，构建线上、线下相融合的电子商务网络体系。今年以来，我们积极组织市域内果品专业合作社、企业参加“2021年全国网上年货节”活动，加大营销人才培育，建设果业网络营销队伍，储备直播人才。组织全市80余名网络销售积极者参加了“陕西省千名水果网红培训”。我们还联合市扶贫办向全社会发起了“登录‘扶贫832’平台，助力果品销售。组织并举办各类果品推介活动。“请进来，走出去”促进果品销售。5月8日-9日，组织临渭源电子商务有限公司等3家果业公司参加了2021年中国品牌农业大会暨首届中国农产品地理标志产业峰会；5月18-19日，组织20余名万果联客商直采进产区活动走进澄城县、白水县、蒲城县，共有45家生产及供应商与采购商实施一对一洽谈对接；举办了蒲城果业高质量发展大会暨酥梨产业发展论坛、第二届中国（澄城）樱桃云营销季暨陕西水果网络樱桃季、“第九届临渭区赤水樱桃采摘节”等系列活动。下一步，我们将继续健全、提升、拓展全市果品市场网络体系，在渭南形成涵盖苹果、枣、梨、葡萄、大樱桃等北方水果的现代果品批发市场和果品物流集散中心。</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黑体" w:hAnsi="黑体" w:eastAsia="黑体" w:cs="黑体"/>
          <w:sz w:val="32"/>
          <w:szCs w:val="32"/>
        </w:rPr>
        <w:t>五是加大品牌宣传推介，积极开拓市场。</w:t>
      </w:r>
      <w:r>
        <w:rPr>
          <w:rFonts w:hint="eastAsia" w:ascii="仿宋_GB2312" w:eastAsia="仿宋_GB2312"/>
          <w:sz w:val="32"/>
          <w:szCs w:val="32"/>
        </w:rPr>
        <w:t>继续加大渭南现有的十个水果区域公用品牌宣传力度，我们设计注册了“渭南果业”区域公用品牌，统筹全市10个特色区域公用品牌及104个企业品牌。计划制作“渭南果品导购名录”，全方位提高我市品牌的市场竞争力和占有率，不断提升品牌溢价水平，打造渭南水果名片。进一步充实品牌文化内涵、品牌管理及市场监管保护措施，加强基地认定与认证、果品质量安全检测和市场监管，统一品牌，统一标准，统一包装，统一宣传，扶持企业、合作社在国内外设立渭南水果直销形象店和“互联网+品牌店+品牌果园”模式精品水果直营店。我们将积极组织参加各类推介会、展销会。坚持以“每年一大会”的节奏，加强果品品牌宣传推介活动，不断提升我市水果的市场占有率和竞争力。</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感谢您对农业农村工作的关心，希望今后继续对我局工作予以支持。</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N/>
        <w:bidi w:val="0"/>
        <w:adjustRightInd/>
        <w:snapToGrid/>
        <w:spacing w:line="560" w:lineRule="exact"/>
        <w:ind w:firstLine="5120" w:firstLineChars="1600"/>
        <w:jc w:val="left"/>
        <w:textAlignment w:val="auto"/>
        <w:rPr>
          <w:rFonts w:hint="eastAsia" w:ascii="仿宋_GB2312" w:eastAsia="仿宋_GB2312"/>
          <w:sz w:val="32"/>
          <w:szCs w:val="32"/>
        </w:rPr>
      </w:pPr>
      <w:r>
        <w:rPr>
          <w:rFonts w:hint="eastAsia" w:ascii="仿宋_GB2312" w:eastAsia="仿宋_GB2312"/>
          <w:sz w:val="32"/>
          <w:szCs w:val="32"/>
        </w:rPr>
        <w:t>渭南市农业农村局</w:t>
      </w:r>
    </w:p>
    <w:p>
      <w:pPr>
        <w:keepNext w:val="0"/>
        <w:keepLines w:val="0"/>
        <w:pageBreakBefore w:val="0"/>
        <w:widowControl w:val="0"/>
        <w:kinsoku/>
        <w:wordWrap/>
        <w:overflowPunct/>
        <w:topLinePunct w:val="0"/>
        <w:autoSpaceDN/>
        <w:bidi w:val="0"/>
        <w:adjustRightInd/>
        <w:snapToGrid/>
        <w:spacing w:line="560" w:lineRule="exact"/>
        <w:ind w:firstLine="5120" w:firstLineChars="1600"/>
        <w:jc w:val="left"/>
        <w:textAlignment w:val="auto"/>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eastAsia="zh-CN"/>
        </w:rPr>
        <w:t>贺纪平</w:t>
      </w:r>
      <w:r>
        <w:rPr>
          <w:rFonts w:ascii="仿宋_GB2312" w:eastAsia="仿宋_GB2312"/>
          <w:sz w:val="32"/>
          <w:szCs w:val="32"/>
        </w:rPr>
        <w:t xml:space="preserve">      </w:t>
      </w:r>
      <w:r>
        <w:rPr>
          <w:rFonts w:hint="eastAsia" w:ascii="仿宋_GB2312" w:eastAsia="仿宋_GB2312"/>
          <w:sz w:val="32"/>
          <w:szCs w:val="32"/>
        </w:rPr>
        <w:t>电话：</w:t>
      </w:r>
      <w:r>
        <w:rPr>
          <w:rFonts w:hint="eastAsia" w:ascii="仿宋_GB2312" w:eastAsia="仿宋_GB2312"/>
          <w:sz w:val="32"/>
          <w:szCs w:val="32"/>
          <w:lang w:val="en-US" w:eastAsia="zh-CN"/>
        </w:rPr>
        <w:t>0913-2930328</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sectPr>
          <w:footerReference r:id="rId3" w:type="default"/>
          <w:pgSz w:w="11906" w:h="16838"/>
          <w:pgMar w:top="2098" w:right="1474" w:bottom="1985" w:left="1588" w:header="851" w:footer="992" w:gutter="0"/>
          <w:pgNumType w:fmt="numberInDash"/>
          <w:cols w:space="720" w:num="1"/>
          <w:docGrid w:type="lines" w:linePitch="312" w:charSpace="0"/>
        </w:sect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pStyle w:val="4"/>
        <w:jc w:val="both"/>
        <w:rPr>
          <w:rFonts w:hint="eastAsia" w:ascii="仿宋_GB2312" w:eastAsia="仿宋_GB2312"/>
          <w:sz w:val="28"/>
          <w:szCs w:val="28"/>
        </w:rPr>
      </w:pPr>
    </w:p>
    <w:p>
      <w:pPr>
        <w:pStyle w:val="4"/>
        <w:jc w:val="both"/>
        <w:rPr>
          <w:rFonts w:hint="eastAsia" w:ascii="仿宋_GB2312" w:eastAsia="仿宋_GB2312"/>
          <w:sz w:val="28"/>
          <w:szCs w:val="28"/>
        </w:rPr>
      </w:pPr>
    </w:p>
    <w:p>
      <w:pPr>
        <w:pStyle w:val="4"/>
        <w:jc w:val="both"/>
        <w:rPr>
          <w:rFonts w:hint="eastAsia" w:ascii="仿宋_GB2312" w:eastAsia="仿宋_GB2312"/>
          <w:sz w:val="28"/>
          <w:szCs w:val="28"/>
        </w:rPr>
      </w:pPr>
    </w:p>
    <w:p>
      <w:pPr>
        <w:pStyle w:val="4"/>
        <w:jc w:val="both"/>
        <w:rPr>
          <w:rFonts w:hint="eastAsia" w:ascii="仿宋_GB2312" w:eastAsia="仿宋_GB2312"/>
          <w:sz w:val="28"/>
          <w:szCs w:val="28"/>
        </w:rPr>
      </w:pPr>
    </w:p>
    <w:p>
      <w:pPr>
        <w:pStyle w:val="4"/>
        <w:jc w:val="both"/>
        <w:rPr>
          <w:rFonts w:hint="eastAsia" w:ascii="仿宋_GB2312" w:eastAsia="仿宋_GB2312"/>
          <w:sz w:val="28"/>
          <w:szCs w:val="28"/>
        </w:rPr>
      </w:pPr>
      <w:bookmarkStart w:id="0" w:name="_GoBack"/>
    </w:p>
    <w:tbl>
      <w:tblPr>
        <w:tblStyle w:val="5"/>
        <w:tblpPr w:leftFromText="180" w:rightFromText="180" w:vertAnchor="text" w:horzAnchor="margin" w:tblpY="361"/>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抄送：市政府办公室，市政协提案工作委员会。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渭南市农业农村局办公室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2021年7月14日印发</w:t>
            </w:r>
          </w:p>
        </w:tc>
      </w:tr>
    </w:tbl>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（抄送：市政府办公室，市政协提案工作委员会。）</w:t>
      </w:r>
    </w:p>
    <w:p>
      <w:pPr>
        <w:spacing w:line="600" w:lineRule="exact"/>
        <w:rPr>
          <w:rFonts w:hint="eastAsia" w:ascii="仿宋_GB2312" w:eastAsia="仿宋_GB2312"/>
          <w:sz w:val="32"/>
          <w:szCs w:val="32"/>
        </w:rPr>
      </w:pPr>
    </w:p>
    <w:p>
      <w:pPr>
        <w:spacing w:line="560" w:lineRule="exact"/>
        <w:rPr>
          <w:rFonts w:hint="eastAsia" w:ascii="黑体" w:hAnsi="黑体" w:eastAsia="黑体"/>
          <w:sz w:val="32"/>
          <w:szCs w:val="32"/>
        </w:rPr>
      </w:pPr>
      <w:r>
        <w:rPr>
          <w:rFonts w:hint="eastAsia" w:ascii="黑体" w:hAnsi="黑体" w:eastAsia="黑体"/>
          <w:sz w:val="32"/>
          <w:szCs w:val="32"/>
        </w:rPr>
        <w:t>附件4</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建议提案办复征询意见表</w:t>
      </w:r>
    </w:p>
    <w:p>
      <w:pPr>
        <w:spacing w:line="560" w:lineRule="exact"/>
        <w:ind w:firstLine="1280" w:firstLineChars="400"/>
        <w:rPr>
          <w:rFonts w:ascii="仿宋_GB2312" w:hAnsi="黑体" w:eastAsia="仿宋_GB2312"/>
          <w:sz w:val="32"/>
          <w:szCs w:val="32"/>
        </w:rPr>
      </w:pPr>
    </w:p>
    <w:p>
      <w:pPr>
        <w:spacing w:line="560" w:lineRule="exact"/>
        <w:ind w:firstLine="1280" w:firstLineChars="400"/>
        <w:rPr>
          <w:rFonts w:ascii="仿宋_GB2312" w:hAnsi="黑体" w:eastAsia="仿宋_GB2312"/>
          <w:sz w:val="32"/>
          <w:szCs w:val="32"/>
        </w:rPr>
      </w:pPr>
      <w:r>
        <w:rPr>
          <w:rFonts w:hint="eastAsia" w:ascii="仿宋_GB2312" w:hAnsi="黑体" w:eastAsia="仿宋_GB2312"/>
          <w:sz w:val="32"/>
          <w:szCs w:val="32"/>
        </w:rPr>
        <w:t>代表、委员：</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为提高建议提案的办理质量，监督考评承办单位办理情况，请您对本件建议、提案的答复结果填写反馈意见，由承办单位送至市政府督查二室。</w:t>
      </w:r>
    </w:p>
    <w:p>
      <w:pPr>
        <w:spacing w:line="560" w:lineRule="exact"/>
        <w:rPr>
          <w:rFonts w:hint="eastAsia" w:ascii="仿宋_GB2312" w:hAnsi="黑体" w:eastAsia="仿宋_GB2312"/>
          <w:sz w:val="32"/>
          <w:szCs w:val="32"/>
        </w:rPr>
      </w:pPr>
      <w:r>
        <w:rPr>
          <w:rFonts w:ascii="仿宋_GB2312" w:hAnsi="黑体" w:eastAsia="仿宋_GB2312"/>
          <w:sz w:val="32"/>
          <w:szCs w:val="32"/>
        </w:rPr>
        <w:t xml:space="preserve">                           </w:t>
      </w:r>
      <w:r>
        <w:rPr>
          <w:rFonts w:hint="eastAsia" w:ascii="仿宋_GB2312" w:hAnsi="黑体" w:eastAsia="仿宋_GB2312"/>
          <w:sz w:val="32"/>
          <w:szCs w:val="32"/>
        </w:rPr>
        <w:t xml:space="preserve"> </w:t>
      </w:r>
    </w:p>
    <w:p>
      <w:pPr>
        <w:spacing w:line="560" w:lineRule="exact"/>
        <w:ind w:firstLine="4960" w:firstLineChars="1550"/>
        <w:rPr>
          <w:rFonts w:ascii="仿宋_GB2312" w:hAnsi="黑体" w:eastAsia="仿宋_GB2312"/>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866"/>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建议提案编号及标题</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承办单位及电话</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代表委员满意度</w:t>
            </w:r>
          </w:p>
        </w:tc>
        <w:tc>
          <w:tcPr>
            <w:tcW w:w="5874" w:type="dxa"/>
            <w:noWrap w:val="0"/>
            <w:vAlign w:val="center"/>
          </w:tcPr>
          <w:p>
            <w:pPr>
              <w:spacing w:line="600" w:lineRule="exact"/>
              <w:jc w:val="center"/>
              <w:rPr>
                <w:rFonts w:ascii="仿宋_GB2312" w:hAnsi="黑体" w:eastAsia="仿宋_GB2312"/>
                <w:sz w:val="32"/>
                <w:szCs w:val="32"/>
              </w:rPr>
            </w:pPr>
            <w:r>
              <w:rPr>
                <w:rFonts w:hint="eastAsia" w:ascii="仿宋_GB2312" w:hAnsi="黑体" w:eastAsia="仿宋_GB2312"/>
                <w:sz w:val="32"/>
                <w:szCs w:val="32"/>
              </w:rPr>
              <w:t>满意</w:t>
            </w:r>
            <w:r>
              <w:rPr>
                <w:rFonts w:ascii="仿宋_GB2312" w:hAnsi="黑体" w:eastAsia="仿宋_GB2312"/>
                <w:sz w:val="32"/>
                <w:szCs w:val="32"/>
              </w:rPr>
              <w:t xml:space="preserve"> </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 xml:space="preserve"> 基本满意</w:t>
            </w:r>
            <w:r>
              <w:rPr>
                <w:rFonts w:ascii="仿宋_GB2312" w:hAnsi="黑体" w:eastAsia="仿宋_GB2312"/>
                <w:sz w:val="32"/>
                <w:szCs w:val="32"/>
              </w:rPr>
              <w:t xml:space="preserve">  </w:t>
            </w:r>
            <w:r>
              <w:rPr>
                <w:rFonts w:hint="eastAsia" w:ascii="仿宋_GB2312" w:hAnsi="黑体" w:eastAsia="仿宋_GB2312"/>
                <w:sz w:val="32"/>
                <w:szCs w:val="32"/>
              </w:rPr>
              <w:t xml:space="preserve">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8" w:hRule="atLeast"/>
        </w:trPr>
        <w:tc>
          <w:tcPr>
            <w:tcW w:w="1302" w:type="dxa"/>
            <w:noWrap w:val="0"/>
            <w:vAlign w:val="top"/>
          </w:tcPr>
          <w:p>
            <w:pPr>
              <w:spacing w:line="440" w:lineRule="exact"/>
              <w:rPr>
                <w:rFonts w:ascii="仿宋_GB2312" w:hAnsi="黑体" w:eastAsia="仿宋_GB2312"/>
                <w:sz w:val="32"/>
                <w:szCs w:val="32"/>
              </w:rPr>
            </w:pPr>
            <w:r>
              <w:rPr>
                <w:rFonts w:hint="eastAsia" w:ascii="仿宋_GB2312" w:hAnsi="黑体" w:eastAsia="仿宋_GB2312"/>
                <w:sz w:val="32"/>
                <w:szCs w:val="32"/>
              </w:rPr>
              <w:t>对本件办理工作及答复结果的满意意见</w:t>
            </w:r>
          </w:p>
        </w:tc>
        <w:tc>
          <w:tcPr>
            <w:tcW w:w="7740" w:type="dxa"/>
            <w:gridSpan w:val="2"/>
            <w:noWrap w:val="0"/>
            <w:vAlign w:val="bottom"/>
          </w:tcPr>
          <w:p>
            <w:pPr>
              <w:spacing w:line="600" w:lineRule="exact"/>
              <w:ind w:right="1280" w:firstLine="3360" w:firstLineChars="1050"/>
              <w:rPr>
                <w:rFonts w:hint="eastAsia" w:ascii="仿宋_GB2312" w:hAnsi="黑体" w:eastAsia="仿宋_GB2312"/>
                <w:sz w:val="32"/>
                <w:szCs w:val="32"/>
              </w:rPr>
            </w:pPr>
            <w:r>
              <w:rPr>
                <w:rFonts w:hint="eastAsia" w:ascii="仿宋_GB2312" w:hAnsi="黑体" w:eastAsia="仿宋_GB2312"/>
                <w:sz w:val="32"/>
                <w:szCs w:val="32"/>
              </w:rPr>
              <w:t>代表、委员签名：</w:t>
            </w:r>
          </w:p>
          <w:p>
            <w:pPr>
              <w:spacing w:line="600" w:lineRule="exact"/>
              <w:ind w:right="1280"/>
              <w:rPr>
                <w:rFonts w:ascii="仿宋_GB2312" w:hAnsi="黑体" w:eastAsia="仿宋_GB2312"/>
                <w:sz w:val="32"/>
                <w:szCs w:val="32"/>
              </w:rPr>
            </w:pPr>
          </w:p>
        </w:tc>
      </w:tr>
    </w:tbl>
    <w:p>
      <w:pPr>
        <w:spacing w:line="560" w:lineRule="exact"/>
        <w:rPr>
          <w:rFonts w:hint="eastAsia"/>
        </w:rPr>
      </w:pPr>
    </w:p>
    <w:sectPr>
      <w:footerReference r:id="rId4"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741D0"/>
    <w:rsid w:val="11E6566A"/>
    <w:rsid w:val="346E6419"/>
    <w:rsid w:val="35653899"/>
    <w:rsid w:val="510722A0"/>
    <w:rsid w:val="6E096BC9"/>
    <w:rsid w:val="79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10"/>
    <w:pPr>
      <w:spacing w:before="240" w:after="60"/>
      <w:jc w:val="center"/>
      <w:outlineLvl w:val="0"/>
    </w:pPr>
    <w:rPr>
      <w:rFonts w:ascii="Arial" w:hAnsi="Arial"/>
      <w:b/>
      <w:sz w:val="44"/>
    </w:r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2021-05-28T02:49:00Z</dcterms:created>
  <dc:creator>wnzme</dc:creator>
  <cp:lastModifiedBy>WPS_1527836822</cp:lastModifiedBy>
  <cp:lastPrinted>2021-08-03T10:23:31Z</cp:lastPrinted>
  <dcterms:modified xsi:type="dcterms:W3CDTF">2021-08-03T10:37:24Z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4D45765E3CA440228B19B866D2F63C69</vt:lpwstr>
  </property>
</Properties>
</file>