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CFB" w:rsidRDefault="00112CFB" w:rsidP="00112CFB">
      <w:pPr>
        <w:spacing w:line="600" w:lineRule="exact"/>
        <w:rPr>
          <w:rFonts w:ascii="黑体" w:eastAsia="黑体" w:hAnsi="黑体" w:hint="eastAsia"/>
          <w:sz w:val="32"/>
          <w:szCs w:val="32"/>
        </w:rPr>
      </w:pPr>
    </w:p>
    <w:p w:rsidR="00112CFB" w:rsidRDefault="00112CFB" w:rsidP="00112CFB">
      <w:pPr>
        <w:spacing w:line="600" w:lineRule="exact"/>
        <w:rPr>
          <w:rFonts w:ascii="仿宋_GB2312" w:eastAsia="仿宋_GB2312" w:hAnsi="方正小标宋简体" w:cs="方正小标宋简体" w:hint="eastAsia"/>
          <w:sz w:val="32"/>
          <w:szCs w:val="32"/>
        </w:rPr>
      </w:pPr>
    </w:p>
    <w:p w:rsidR="002E7E74" w:rsidRDefault="002E7E74" w:rsidP="00112CFB">
      <w:pPr>
        <w:spacing w:line="600" w:lineRule="exact"/>
        <w:rPr>
          <w:rFonts w:ascii="仿宋_GB2312" w:eastAsia="仿宋_GB2312" w:hAnsi="方正小标宋简体" w:cs="方正小标宋简体"/>
          <w:sz w:val="32"/>
          <w:szCs w:val="32"/>
        </w:rPr>
      </w:pPr>
    </w:p>
    <w:p w:rsidR="00112CFB" w:rsidRDefault="00112CFB" w:rsidP="00112CFB">
      <w:pPr>
        <w:spacing w:line="600" w:lineRule="exact"/>
        <w:ind w:firstLineChars="100" w:firstLine="320"/>
        <w:jc w:val="left"/>
        <w:rPr>
          <w:rFonts w:ascii="仿宋_GB2312" w:eastAsia="仿宋_GB2312"/>
          <w:sz w:val="32"/>
          <w:szCs w:val="32"/>
        </w:rPr>
      </w:pPr>
      <w:r>
        <w:rPr>
          <w:rFonts w:ascii="仿宋_GB2312" w:eastAsia="仿宋_GB2312" w:hint="eastAsia"/>
          <w:sz w:val="32"/>
          <w:szCs w:val="32"/>
        </w:rPr>
        <w:t>签发人：</w:t>
      </w:r>
      <w:r w:rsidRPr="00A66E96">
        <w:rPr>
          <w:rFonts w:ascii="楷体" w:eastAsia="楷体" w:hAnsi="楷体" w:hint="eastAsia"/>
          <w:sz w:val="32"/>
          <w:szCs w:val="32"/>
        </w:rPr>
        <w:t>陈  飞</w:t>
      </w:r>
      <w:r>
        <w:rPr>
          <w:rFonts w:ascii="仿宋_GB2312" w:eastAsia="仿宋_GB2312" w:hint="eastAsia"/>
          <w:sz w:val="32"/>
          <w:szCs w:val="32"/>
        </w:rPr>
        <w:t xml:space="preserve">               渭农函〔</w:t>
      </w:r>
      <w:r>
        <w:rPr>
          <w:rFonts w:ascii="仿宋_GB2312" w:eastAsia="仿宋_GB2312"/>
          <w:sz w:val="32"/>
          <w:szCs w:val="32"/>
        </w:rPr>
        <w:t>20</w:t>
      </w:r>
      <w:r>
        <w:rPr>
          <w:rFonts w:ascii="仿宋_GB2312" w:eastAsia="仿宋_GB2312" w:hint="eastAsia"/>
          <w:sz w:val="32"/>
          <w:szCs w:val="32"/>
        </w:rPr>
        <w:t>21〕105号</w:t>
      </w:r>
    </w:p>
    <w:p w:rsidR="00112CFB" w:rsidRDefault="00112CFB" w:rsidP="00112CFB">
      <w:pPr>
        <w:spacing w:line="600" w:lineRule="exact"/>
        <w:jc w:val="center"/>
        <w:rPr>
          <w:rFonts w:ascii="仿宋_GB2312" w:eastAsia="仿宋_GB2312"/>
          <w:sz w:val="32"/>
          <w:szCs w:val="32"/>
        </w:rPr>
      </w:pPr>
    </w:p>
    <w:p w:rsidR="00112CFB" w:rsidRDefault="00112CFB" w:rsidP="00112CFB">
      <w:pPr>
        <w:spacing w:line="600" w:lineRule="exact"/>
        <w:jc w:val="center"/>
        <w:rPr>
          <w:rFonts w:ascii="方正小标宋简体" w:eastAsia="方正小标宋简体" w:hint="eastAsia"/>
          <w:sz w:val="44"/>
          <w:szCs w:val="44"/>
        </w:rPr>
      </w:pPr>
      <w:r>
        <w:rPr>
          <w:rFonts w:ascii="方正小标宋简体" w:eastAsia="方正小标宋简体" w:hint="eastAsia"/>
          <w:sz w:val="44"/>
          <w:szCs w:val="44"/>
        </w:rPr>
        <w:t>渭南市农业农村局</w:t>
      </w:r>
    </w:p>
    <w:p w:rsidR="00112CFB" w:rsidRDefault="00112CFB" w:rsidP="00112CFB">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关于对市五届人大七次会议第109号</w:t>
      </w:r>
    </w:p>
    <w:p w:rsidR="00112CFB" w:rsidRDefault="00112CFB" w:rsidP="00112CFB">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建议的复函</w:t>
      </w:r>
    </w:p>
    <w:p w:rsidR="00112CFB" w:rsidRDefault="00112CFB" w:rsidP="00112CFB">
      <w:pPr>
        <w:spacing w:line="600" w:lineRule="exact"/>
        <w:jc w:val="left"/>
        <w:rPr>
          <w:rFonts w:ascii="仿宋_GB2312" w:eastAsia="仿宋_GB2312"/>
          <w:sz w:val="32"/>
          <w:szCs w:val="32"/>
        </w:rPr>
      </w:pPr>
    </w:p>
    <w:p w:rsidR="00112CFB" w:rsidRPr="001C6455" w:rsidRDefault="00112CFB" w:rsidP="006500C0">
      <w:pPr>
        <w:spacing w:line="540" w:lineRule="exact"/>
        <w:jc w:val="left"/>
        <w:rPr>
          <w:rStyle w:val="NormalCharacter"/>
          <w:rFonts w:ascii="仿宋_GB2312" w:eastAsia="仿宋_GB2312" w:hAnsi="仿宋" w:cs="仿宋_GB2312"/>
          <w:sz w:val="32"/>
          <w:szCs w:val="32"/>
        </w:rPr>
      </w:pPr>
      <w:r w:rsidRPr="001C6455">
        <w:rPr>
          <w:rStyle w:val="NormalCharacter"/>
          <w:rFonts w:ascii="仿宋_GB2312" w:eastAsia="仿宋_GB2312" w:hAnsi="仿宋" w:cs="仿宋_GB2312" w:hint="eastAsia"/>
          <w:sz w:val="32"/>
          <w:szCs w:val="32"/>
        </w:rPr>
        <w:t>王新军代表：</w:t>
      </w:r>
    </w:p>
    <w:p w:rsidR="00112CFB" w:rsidRPr="001C6455" w:rsidRDefault="00112CFB" w:rsidP="006500C0">
      <w:pPr>
        <w:spacing w:line="540" w:lineRule="exact"/>
        <w:ind w:firstLineChars="200" w:firstLine="640"/>
        <w:jc w:val="left"/>
        <w:rPr>
          <w:rStyle w:val="NormalCharacter"/>
          <w:rFonts w:ascii="仿宋_GB2312" w:eastAsia="仿宋_GB2312" w:hAnsi="仿宋" w:cs="仿宋_GB2312" w:hint="eastAsia"/>
          <w:sz w:val="32"/>
          <w:szCs w:val="32"/>
        </w:rPr>
      </w:pPr>
      <w:r w:rsidRPr="001C6455">
        <w:rPr>
          <w:rStyle w:val="NormalCharacter"/>
          <w:rFonts w:ascii="仿宋_GB2312" w:eastAsia="仿宋_GB2312" w:hAnsi="仿宋" w:cs="仿宋_GB2312" w:hint="eastAsia"/>
          <w:sz w:val="32"/>
          <w:szCs w:val="32"/>
        </w:rPr>
        <w:t>您提出的《关于</w:t>
      </w:r>
      <w:r>
        <w:rPr>
          <w:rStyle w:val="NormalCharacter"/>
          <w:rFonts w:ascii="仿宋_GB2312" w:eastAsia="仿宋_GB2312" w:hAnsi="仿宋" w:cs="仿宋_GB2312" w:hint="eastAsia"/>
          <w:sz w:val="32"/>
          <w:szCs w:val="32"/>
        </w:rPr>
        <w:t>支持潼关组建</w:t>
      </w:r>
      <w:r w:rsidRPr="001C6455">
        <w:rPr>
          <w:rStyle w:val="NormalCharacter"/>
          <w:rFonts w:ascii="仿宋_GB2312" w:eastAsia="仿宋_GB2312" w:hAnsi="仿宋" w:cs="仿宋_GB2312" w:hint="eastAsia"/>
          <w:sz w:val="32"/>
          <w:szCs w:val="32"/>
        </w:rPr>
        <w:t>软籽石榴研究院的建议》（第109号）收悉。现答复如下：</w:t>
      </w:r>
    </w:p>
    <w:p w:rsidR="00112CFB" w:rsidRPr="001C6455" w:rsidRDefault="00112CFB" w:rsidP="006500C0">
      <w:pPr>
        <w:spacing w:line="540" w:lineRule="exact"/>
        <w:ind w:firstLineChars="200" w:firstLine="640"/>
        <w:jc w:val="left"/>
        <w:rPr>
          <w:rStyle w:val="NormalCharacter"/>
          <w:rFonts w:ascii="仿宋_GB2312" w:eastAsia="仿宋_GB2312" w:hAnsi="仿宋" w:cs="仿宋_GB2312" w:hint="eastAsia"/>
          <w:sz w:val="32"/>
          <w:szCs w:val="32"/>
        </w:rPr>
      </w:pPr>
      <w:r w:rsidRPr="001C6455">
        <w:rPr>
          <w:rStyle w:val="NormalCharacter"/>
          <w:rFonts w:ascii="仿宋_GB2312" w:eastAsia="仿宋_GB2312" w:hAnsi="仿宋" w:cs="仿宋_GB2312" w:hint="eastAsia"/>
          <w:sz w:val="32"/>
          <w:szCs w:val="32"/>
        </w:rPr>
        <w:t>我市是果业大市，果业收入已成为农民收入的主要来源之一。软籽石榴产业的发展也是我市果业发展的一个重要支撑产业。</w:t>
      </w:r>
    </w:p>
    <w:p w:rsidR="00112CFB" w:rsidRDefault="00112CFB" w:rsidP="006500C0">
      <w:pPr>
        <w:spacing w:line="540" w:lineRule="exact"/>
        <w:ind w:firstLineChars="200" w:firstLine="640"/>
        <w:rPr>
          <w:rFonts w:ascii="黑体" w:eastAsia="黑体" w:hAnsi="黑体" w:hint="eastAsia"/>
          <w:sz w:val="32"/>
          <w:szCs w:val="32"/>
        </w:rPr>
      </w:pPr>
      <w:r>
        <w:rPr>
          <w:rFonts w:ascii="黑体" w:eastAsia="黑体" w:hAnsi="黑体" w:hint="eastAsia"/>
          <w:sz w:val="32"/>
          <w:szCs w:val="32"/>
        </w:rPr>
        <w:t>一、“十三五”果业发展取得的成效</w:t>
      </w:r>
    </w:p>
    <w:p w:rsidR="00112CFB" w:rsidRDefault="00112CFB" w:rsidP="006500C0">
      <w:pPr>
        <w:spacing w:line="540" w:lineRule="exact"/>
        <w:ind w:firstLineChars="200" w:firstLine="640"/>
        <w:rPr>
          <w:rStyle w:val="NormalCharacter"/>
          <w:rFonts w:ascii="仿宋_GB2312" w:eastAsia="仿宋_GB2312" w:hAnsi="仿宋" w:cs="仿宋_GB2312" w:hint="eastAsia"/>
          <w:sz w:val="32"/>
          <w:szCs w:val="32"/>
        </w:rPr>
      </w:pPr>
      <w:r>
        <w:rPr>
          <w:rStyle w:val="NormalCharacter"/>
          <w:rFonts w:ascii="仿宋_GB2312" w:eastAsia="仿宋_GB2312" w:hAnsi="仿宋" w:cs="仿宋_GB2312" w:hint="eastAsia"/>
          <w:sz w:val="32"/>
          <w:szCs w:val="32"/>
        </w:rPr>
        <w:t>果业作为渭南农业农村经济发展的优势产业、出口创汇的主要产品、农民增收的重要来源，“十三五”期间，全市上下积极推动果业转型升级，基本实现了由粗放型向精细型、由传统型向现代型、由分散型向科技创新型的转变，为全市脱贫攻坚与农业农村经济发展做出了重要贡献，主要呈现出以下特点：</w:t>
      </w:r>
      <w:r>
        <w:rPr>
          <w:rStyle w:val="NormalCharacter"/>
          <w:rFonts w:ascii="仿宋_GB2312" w:eastAsia="仿宋_GB2312" w:hAnsi="仿宋" w:cs="仿宋_GB2312" w:hint="eastAsia"/>
          <w:b/>
          <w:sz w:val="32"/>
          <w:szCs w:val="32"/>
        </w:rPr>
        <w:t>一是区域特色优势日益明显。</w:t>
      </w:r>
      <w:r>
        <w:rPr>
          <w:rStyle w:val="NormalCharacter"/>
          <w:rFonts w:ascii="仿宋_GB2312" w:eastAsia="仿宋_GB2312" w:hAnsi="仿宋" w:cs="仿宋_GB2312" w:hint="eastAsia"/>
          <w:sz w:val="32"/>
          <w:szCs w:val="32"/>
        </w:rPr>
        <w:t>目前全市水果面积314.6万亩，总产量358.1万吨，分别居全省第四位和第三位。各县市区依据资源禀赋初步</w:t>
      </w:r>
      <w:r>
        <w:rPr>
          <w:rStyle w:val="NormalCharacter"/>
          <w:rFonts w:ascii="仿宋_GB2312" w:eastAsia="仿宋_GB2312" w:hAnsi="仿宋" w:cs="仿宋_GB2312" w:hint="eastAsia"/>
          <w:sz w:val="32"/>
          <w:szCs w:val="32"/>
        </w:rPr>
        <w:lastRenderedPageBreak/>
        <w:t>形成区域特色鲜明的果业主导产业，大荔县设施冬枣面积居全国第一位，临渭区葡萄面积位列全国第二位。</w:t>
      </w:r>
      <w:r>
        <w:rPr>
          <w:rStyle w:val="NormalCharacter"/>
          <w:rFonts w:ascii="仿宋_GB2312" w:eastAsia="仿宋_GB2312" w:hAnsi="仿宋" w:cs="仿宋_GB2312" w:hint="eastAsia"/>
          <w:b/>
          <w:sz w:val="32"/>
          <w:szCs w:val="32"/>
        </w:rPr>
        <w:t>二是品牌建设成效初步显现。</w:t>
      </w:r>
      <w:r>
        <w:rPr>
          <w:rStyle w:val="NormalCharacter"/>
          <w:rFonts w:ascii="仿宋_GB2312" w:eastAsia="仿宋_GB2312" w:hAnsi="仿宋" w:cs="仿宋_GB2312" w:hint="eastAsia"/>
          <w:sz w:val="32"/>
          <w:szCs w:val="32"/>
        </w:rPr>
        <w:t>2020全国果品区域公用品牌价值排行榜中，“白水苹果”“大荔冬枣”“蒲城酥梨”“临渭葡萄”“富平柿饼”“富平苹果”“合阳红提”“澄城樱桃”8个果业区域公用品牌榜上有名，总价值185.69亿元。我市先后荣获“全国果品品牌创建示范市”和“中国优质果品示范基地”等荣誉。渭南果品远销美国、俄罗斯、东盟等30多个国家和地区，年出口额达1.95亿美元，鲜果出口额达1.3亿美元，居全省第一位。</w:t>
      </w:r>
      <w:r>
        <w:rPr>
          <w:rStyle w:val="NormalCharacter"/>
          <w:rFonts w:ascii="仿宋_GB2312" w:eastAsia="仿宋_GB2312" w:hAnsi="仿宋" w:cs="仿宋_GB2312" w:hint="eastAsia"/>
          <w:b/>
          <w:sz w:val="32"/>
          <w:szCs w:val="32"/>
        </w:rPr>
        <w:t>三是科技服务水平不断提升。</w:t>
      </w:r>
      <w:r>
        <w:rPr>
          <w:rStyle w:val="NormalCharacter"/>
          <w:rFonts w:ascii="仿宋_GB2312" w:eastAsia="仿宋_GB2312" w:hAnsi="仿宋" w:cs="仿宋_GB2312" w:hint="eastAsia"/>
          <w:sz w:val="32"/>
          <w:szCs w:val="32"/>
        </w:rPr>
        <w:t>全市现有市级以上果树试验站9家，其中市、县与西北农林科技大学合作共建白水苹果、合阳葡萄、蒲城酥梨、大荔冬枣、富平柿子、临渭猕猴桃等6个试验站，在新品种选育推广、人才培养、技术推广等方面发挥了重要作用，先后培育推广了瑞阳、瑞雪、瑞香红等优良苹果品种，示范推广了阳光玫瑰、克瑞生葡萄等新优果树品种。积极示范推广水果设施避雨栽培和苹果矮砧集约栽培、果园种草、病虫害绿色防控、老园改造提升等技术，提高了果园管理水平和种植效益。</w:t>
      </w:r>
      <w:r>
        <w:rPr>
          <w:rStyle w:val="NormalCharacter"/>
          <w:rFonts w:ascii="仿宋_GB2312" w:eastAsia="仿宋_GB2312" w:hAnsi="仿宋" w:cs="仿宋_GB2312" w:hint="eastAsia"/>
          <w:b/>
          <w:sz w:val="32"/>
          <w:szCs w:val="32"/>
        </w:rPr>
        <w:t>四是全产业链发展初具规模。</w:t>
      </w:r>
      <w:r>
        <w:rPr>
          <w:rStyle w:val="NormalCharacter"/>
          <w:rFonts w:ascii="仿宋_GB2312" w:eastAsia="仿宋_GB2312" w:hAnsi="仿宋" w:cs="仿宋_GB2312" w:hint="eastAsia"/>
          <w:sz w:val="32"/>
          <w:szCs w:val="32"/>
        </w:rPr>
        <w:t>目前，市级以上果业龙头企业123家，其中国家级龙头企业3家。白水安德利、澄城海升、富平中鲁、合阳恒兴等9家果汁加工企业，年设计生产能力30万吨。全市拥有机械冷库359座，贮藏能力109.9万吨。形成苹果期货交割厂库服务机构、交割车船板服务机构各 1个，全国首单苹果期货交割在白水县完成。全市电商企业及商户1.53万个。建成果品初加工生产线142条，4.0</w:t>
      </w:r>
      <w:r>
        <w:rPr>
          <w:rStyle w:val="NormalCharacter"/>
          <w:rFonts w:ascii="仿宋_GB2312" w:eastAsia="仿宋_GB2312" w:hAnsi="仿宋" w:cs="仿宋_GB2312" w:hint="eastAsia"/>
          <w:sz w:val="32"/>
          <w:szCs w:val="32"/>
        </w:rPr>
        <w:lastRenderedPageBreak/>
        <w:t>智能选果线6条（其中苹果5条，冬枣1条）。渭南葡萄产业园已成为全国休闲农业与乡村旅游示范点。</w:t>
      </w:r>
    </w:p>
    <w:p w:rsidR="00112CFB" w:rsidRDefault="00112CFB" w:rsidP="006500C0">
      <w:pPr>
        <w:spacing w:line="540" w:lineRule="exact"/>
        <w:ind w:firstLineChars="200" w:firstLine="640"/>
        <w:rPr>
          <w:rFonts w:ascii="黑体" w:eastAsia="黑体" w:hAnsi="黑体" w:hint="eastAsia"/>
          <w:sz w:val="32"/>
          <w:szCs w:val="32"/>
        </w:rPr>
      </w:pPr>
      <w:r>
        <w:rPr>
          <w:rFonts w:ascii="黑体" w:eastAsia="黑体" w:hAnsi="黑体" w:hint="eastAsia"/>
          <w:sz w:val="32"/>
          <w:szCs w:val="32"/>
        </w:rPr>
        <w:t>二、未来我市果业发展新思路</w:t>
      </w:r>
    </w:p>
    <w:p w:rsidR="00112CFB" w:rsidRDefault="00112CFB" w:rsidP="006500C0">
      <w:pPr>
        <w:spacing w:line="540" w:lineRule="exact"/>
        <w:ind w:firstLineChars="200" w:firstLine="640"/>
        <w:rPr>
          <w:rStyle w:val="NormalCharacter"/>
          <w:rFonts w:ascii="仿宋_GB2312" w:eastAsia="仿宋_GB2312" w:hAnsi="仿宋" w:hint="eastAsia"/>
          <w:b/>
          <w:bCs/>
          <w:color w:val="000000"/>
          <w:sz w:val="32"/>
          <w:szCs w:val="32"/>
        </w:rPr>
      </w:pPr>
      <w:r>
        <w:rPr>
          <w:rFonts w:ascii="仿宋_GB2312" w:eastAsia="仿宋_GB2312" w:hAnsi="仿宋" w:hint="eastAsia"/>
          <w:sz w:val="32"/>
          <w:szCs w:val="32"/>
        </w:rPr>
        <w:t>今后和相当长一段时期，果业发展要遵循政策规定、市场规律、产业特征，立足区域资源禀赋，尽早尽快做出重大调整。</w:t>
      </w:r>
      <w:r>
        <w:rPr>
          <w:rStyle w:val="NormalCharacter"/>
          <w:rFonts w:ascii="仿宋_GB2312" w:eastAsia="仿宋_GB2312" w:hAnsi="仿宋" w:cs="仿宋_GB2312" w:hint="eastAsia"/>
          <w:color w:val="000000"/>
          <w:sz w:val="32"/>
          <w:szCs w:val="32"/>
        </w:rPr>
        <w:t>总体思路是：优布局，加快特色果业向优势区域集中；调结构，加快老园改造和品种更新；提品质，全面提升技术水平保障优果率；增效益，大幅度提高单位面积上的生产效益</w:t>
      </w:r>
      <w:r>
        <w:rPr>
          <w:rStyle w:val="NormalCharacter"/>
          <w:rFonts w:ascii="仿宋_GB2312" w:eastAsia="仿宋_GB2312" w:hAnsi="仿宋" w:cs="仿宋_GB2312" w:hint="eastAsia"/>
          <w:sz w:val="32"/>
          <w:szCs w:val="32"/>
        </w:rPr>
        <w:t>。要围绕“一个主题”,就是加快果业高质量发展;坚持“两个原则”,就是果园更新和提质增效;构建“四大体系”,就是构建现代果业生产体系、现代产业体系、现代经营体系、科技支撑体系;强化关键措施，</w:t>
      </w:r>
      <w:r>
        <w:rPr>
          <w:rFonts w:ascii="仿宋_GB2312" w:eastAsia="仿宋_GB2312" w:hAnsi="仿宋" w:hint="eastAsia"/>
          <w:sz w:val="32"/>
          <w:szCs w:val="32"/>
        </w:rPr>
        <w:t>全力提升果业发展质量和综合效益</w:t>
      </w:r>
      <w:r>
        <w:rPr>
          <w:rStyle w:val="NormalCharacter"/>
          <w:rFonts w:ascii="仿宋_GB2312" w:eastAsia="仿宋_GB2312" w:hAnsi="仿宋" w:cs="仿宋_GB2312" w:hint="eastAsia"/>
          <w:sz w:val="32"/>
          <w:szCs w:val="32"/>
        </w:rPr>
        <w:t>。</w:t>
      </w:r>
    </w:p>
    <w:p w:rsidR="00112CFB" w:rsidRPr="00502AD3" w:rsidRDefault="00112CFB" w:rsidP="006500C0">
      <w:pPr>
        <w:spacing w:line="540" w:lineRule="exact"/>
        <w:ind w:firstLineChars="200" w:firstLine="640"/>
        <w:rPr>
          <w:rFonts w:ascii="黑体" w:eastAsia="黑体" w:hAnsi="黑体" w:cs="仿宋" w:hint="eastAsia"/>
          <w:sz w:val="32"/>
          <w:szCs w:val="32"/>
        </w:rPr>
      </w:pPr>
      <w:r w:rsidRPr="00502AD3">
        <w:rPr>
          <w:rFonts w:ascii="黑体" w:eastAsia="黑体" w:hAnsi="黑体" w:hint="eastAsia"/>
          <w:sz w:val="32"/>
          <w:szCs w:val="32"/>
        </w:rPr>
        <w:t>三、</w:t>
      </w:r>
      <w:r>
        <w:rPr>
          <w:rFonts w:ascii="黑体" w:eastAsia="黑体" w:hAnsi="黑体" w:hint="eastAsia"/>
          <w:sz w:val="32"/>
          <w:szCs w:val="32"/>
        </w:rPr>
        <w:t>我市</w:t>
      </w:r>
      <w:r w:rsidRPr="00502AD3">
        <w:rPr>
          <w:rFonts w:ascii="黑体" w:eastAsia="黑体" w:hAnsi="黑体" w:cs="仿宋" w:hint="eastAsia"/>
          <w:sz w:val="32"/>
          <w:szCs w:val="32"/>
        </w:rPr>
        <w:t>果业</w:t>
      </w:r>
      <w:r>
        <w:rPr>
          <w:rFonts w:ascii="黑体" w:eastAsia="黑体" w:hAnsi="黑体" w:cs="仿宋" w:hint="eastAsia"/>
          <w:sz w:val="32"/>
          <w:szCs w:val="32"/>
        </w:rPr>
        <w:t>技术</w:t>
      </w:r>
      <w:r w:rsidRPr="00502AD3">
        <w:rPr>
          <w:rFonts w:ascii="黑体" w:eastAsia="黑体" w:hAnsi="黑体" w:cs="仿宋" w:hint="eastAsia"/>
          <w:sz w:val="32"/>
          <w:szCs w:val="32"/>
        </w:rPr>
        <w:t>试验示范情况</w:t>
      </w:r>
    </w:p>
    <w:p w:rsidR="00112CFB" w:rsidRDefault="00112CFB" w:rsidP="006500C0">
      <w:pPr>
        <w:spacing w:line="540" w:lineRule="exact"/>
        <w:ind w:firstLineChars="200" w:firstLine="640"/>
        <w:rPr>
          <w:rFonts w:ascii="仿宋_GB2312" w:eastAsia="仿宋_GB2312" w:hAnsi="仿宋" w:cs="仿宋" w:hint="eastAsia"/>
          <w:sz w:val="32"/>
          <w:szCs w:val="32"/>
        </w:rPr>
      </w:pPr>
      <w:r>
        <w:rPr>
          <w:rFonts w:ascii="仿宋_GB2312" w:eastAsia="仿宋_GB2312" w:hAnsi="仿宋_GB2312" w:cs="仿宋_GB2312" w:hint="eastAsia"/>
          <w:sz w:val="32"/>
          <w:szCs w:val="32"/>
        </w:rPr>
        <w:t>渭南市目前有7个县区与西北农林科技大学共建有试验示范站，分别为蒲城县酥梨试验示范站，渭南白水苹果试验示范站，渭南合阳葡萄试验示范站，富平现代农业综合试验示范站，澄城县旱塬生态农业科技试验示范站，大荔冬枣试验示范站，华州区蔬菜技术试验推广站。今年，</w:t>
      </w:r>
      <w:r>
        <w:rPr>
          <w:rFonts w:ascii="仿宋_GB2312" w:eastAsia="仿宋_GB2312" w:hAnsi="仿宋_GB2312" w:cs="仿宋_GB2312" w:hint="eastAsia"/>
          <w:sz w:val="32"/>
          <w:szCs w:val="40"/>
        </w:rPr>
        <w:t>为深入贯彻习近平新时代中国特色社会主义思想，协同推进乡村振兴战略实施，渭南市人民政府计划与西北农林科技大学就深入实施我市乡村振兴战略，稳步推进产业发展等方面签订合作协议，双方在继续加强已建农业试验站的基础上，依据地方优势产业拓展共建一批不同属性的试验站。积极拓展试验站产业服务功能，强化新优品种引育、绿色高效种</w:t>
      </w:r>
      <w:r>
        <w:rPr>
          <w:rFonts w:ascii="仿宋_GB2312" w:eastAsia="仿宋_GB2312" w:hAnsi="仿宋_GB2312" w:cs="仿宋_GB2312" w:hint="eastAsia"/>
          <w:sz w:val="32"/>
          <w:szCs w:val="40"/>
        </w:rPr>
        <w:lastRenderedPageBreak/>
        <w:t>养、产品精深加工等关键技术研发，支撑产业链延伸。</w:t>
      </w:r>
      <w:r>
        <w:rPr>
          <w:rFonts w:ascii="仿宋_GB2312" w:eastAsia="仿宋_GB2312" w:hAnsi="仿宋" w:cs="仿宋" w:hint="eastAsia"/>
          <w:sz w:val="32"/>
          <w:szCs w:val="32"/>
        </w:rPr>
        <w:t>此外，为全力促进果业高质量发展和推进乡村振兴提供智力支撑，充分发挥我市果树专家技术优势，我们起草制定了《渭南市果业高质量发展专家服务团管理办法（征求意见稿）》，计划面向全市招募30名专家，涵盖果树栽培的5个技术领域，内设7个分团，开展果业技术咨询、技术攻关、专题调研、技术培训指导等工作。</w:t>
      </w:r>
    </w:p>
    <w:p w:rsidR="00112CFB" w:rsidRDefault="00112CFB" w:rsidP="006500C0">
      <w:pPr>
        <w:spacing w:line="540" w:lineRule="exact"/>
        <w:ind w:firstLineChars="200" w:firstLine="640"/>
        <w:rPr>
          <w:rStyle w:val="NormalCharacter"/>
          <w:rFonts w:ascii="仿宋_GB2312" w:eastAsia="仿宋_GB2312" w:hAnsi="仿宋" w:cs="仿宋_GB2312" w:hint="eastAsia"/>
          <w:sz w:val="36"/>
          <w:szCs w:val="36"/>
        </w:rPr>
      </w:pPr>
      <w:r>
        <w:rPr>
          <w:rStyle w:val="NormalCharacter"/>
          <w:rFonts w:ascii="仿宋_GB2312" w:eastAsia="仿宋_GB2312" w:hAnsi="仿宋" w:cs="仿宋_GB2312" w:hint="eastAsia"/>
          <w:sz w:val="32"/>
          <w:szCs w:val="32"/>
        </w:rPr>
        <w:t>下一步，我局将充分吸纳本议案的意见建议，围绕实施乡村振兴战略，立足我市果业实际，一如既往地将软籽石榴纳入我市特色果业发展，进一步加强软籽石榴的技术难点攻克，支持软籽石榴企业品牌建设，</w:t>
      </w:r>
      <w:r>
        <w:rPr>
          <w:rFonts w:ascii="仿宋_GB2312" w:eastAsia="仿宋_GB2312" w:hAnsi="仿宋" w:cs="仿宋" w:hint="eastAsia"/>
          <w:sz w:val="32"/>
          <w:szCs w:val="32"/>
        </w:rPr>
        <w:t>加大软籽石榴产业提升项目推进力度，全方位提升产供销服务体系，打造潼关“拳头”产品，让软籽石榴产业成为实施乡村振兴战略、农村经济发展的新动能。</w:t>
      </w:r>
    </w:p>
    <w:p w:rsidR="00112CFB" w:rsidRDefault="00112CFB" w:rsidP="006500C0">
      <w:pPr>
        <w:spacing w:line="540" w:lineRule="exact"/>
        <w:ind w:firstLineChars="1400" w:firstLine="4480"/>
        <w:jc w:val="left"/>
        <w:rPr>
          <w:rStyle w:val="NormalCharacter"/>
          <w:rFonts w:ascii="仿宋_GB2312" w:eastAsia="仿宋_GB2312" w:hAnsi="仿宋" w:cs="仿宋_GB2312" w:hint="eastAsia"/>
          <w:sz w:val="32"/>
          <w:szCs w:val="32"/>
        </w:rPr>
      </w:pPr>
    </w:p>
    <w:p w:rsidR="00112CFB" w:rsidRDefault="00112CFB" w:rsidP="00112CFB">
      <w:pPr>
        <w:spacing w:line="600" w:lineRule="exact"/>
        <w:ind w:firstLineChars="1400" w:firstLine="4480"/>
        <w:jc w:val="left"/>
        <w:rPr>
          <w:rStyle w:val="NormalCharacter"/>
          <w:rFonts w:ascii="仿宋_GB2312" w:eastAsia="仿宋_GB2312" w:hAnsi="仿宋" w:cs="仿宋_GB2312" w:hint="eastAsia"/>
          <w:sz w:val="32"/>
          <w:szCs w:val="32"/>
        </w:rPr>
      </w:pPr>
    </w:p>
    <w:p w:rsidR="00112CFB" w:rsidRPr="001C6455" w:rsidRDefault="00112CFB" w:rsidP="006500C0">
      <w:pPr>
        <w:spacing w:line="600" w:lineRule="exact"/>
        <w:ind w:firstLineChars="1600" w:firstLine="5120"/>
        <w:jc w:val="left"/>
        <w:rPr>
          <w:rStyle w:val="NormalCharacter"/>
          <w:rFonts w:ascii="仿宋_GB2312" w:eastAsia="仿宋_GB2312" w:hAnsi="仿宋" w:cs="仿宋_GB2312" w:hint="eastAsia"/>
          <w:sz w:val="32"/>
          <w:szCs w:val="32"/>
        </w:rPr>
      </w:pPr>
      <w:r w:rsidRPr="001C6455">
        <w:rPr>
          <w:rStyle w:val="NormalCharacter"/>
          <w:rFonts w:ascii="仿宋_GB2312" w:eastAsia="仿宋_GB2312" w:hAnsi="仿宋" w:cs="仿宋_GB2312" w:hint="eastAsia"/>
          <w:sz w:val="32"/>
          <w:szCs w:val="32"/>
        </w:rPr>
        <w:t>渭南市农业农村局</w:t>
      </w:r>
    </w:p>
    <w:p w:rsidR="00112CFB" w:rsidRPr="001C6455" w:rsidRDefault="00112CFB" w:rsidP="006500C0">
      <w:pPr>
        <w:spacing w:line="600" w:lineRule="exact"/>
        <w:ind w:firstLineChars="1650" w:firstLine="5280"/>
        <w:jc w:val="left"/>
        <w:rPr>
          <w:rStyle w:val="NormalCharacter"/>
          <w:rFonts w:ascii="仿宋_GB2312" w:eastAsia="仿宋_GB2312" w:hAnsi="仿宋" w:cs="仿宋_GB2312" w:hint="eastAsia"/>
          <w:sz w:val="32"/>
          <w:szCs w:val="32"/>
        </w:rPr>
      </w:pPr>
      <w:r w:rsidRPr="001C6455">
        <w:rPr>
          <w:rStyle w:val="NormalCharacter"/>
          <w:rFonts w:ascii="仿宋_GB2312" w:eastAsia="仿宋_GB2312" w:hAnsi="仿宋" w:cs="仿宋_GB2312"/>
          <w:sz w:val="32"/>
          <w:szCs w:val="32"/>
        </w:rPr>
        <w:t>20</w:t>
      </w:r>
      <w:r w:rsidRPr="001C6455">
        <w:rPr>
          <w:rStyle w:val="NormalCharacter"/>
          <w:rFonts w:ascii="仿宋_GB2312" w:eastAsia="仿宋_GB2312" w:hAnsi="仿宋" w:cs="仿宋_GB2312" w:hint="eastAsia"/>
          <w:sz w:val="32"/>
          <w:szCs w:val="32"/>
        </w:rPr>
        <w:t>21年7月1</w:t>
      </w:r>
      <w:r w:rsidR="006500C0">
        <w:rPr>
          <w:rStyle w:val="NormalCharacter"/>
          <w:rFonts w:ascii="仿宋_GB2312" w:eastAsia="仿宋_GB2312" w:hAnsi="仿宋" w:cs="仿宋_GB2312" w:hint="eastAsia"/>
          <w:sz w:val="32"/>
          <w:szCs w:val="32"/>
        </w:rPr>
        <w:t>4</w:t>
      </w:r>
      <w:r w:rsidRPr="001C6455">
        <w:rPr>
          <w:rStyle w:val="NormalCharacter"/>
          <w:rFonts w:ascii="仿宋_GB2312" w:eastAsia="仿宋_GB2312" w:hAnsi="仿宋" w:cs="仿宋_GB2312" w:hint="eastAsia"/>
          <w:sz w:val="32"/>
          <w:szCs w:val="32"/>
        </w:rPr>
        <w:t>日</w:t>
      </w:r>
    </w:p>
    <w:p w:rsidR="00112CFB" w:rsidRDefault="00112CFB" w:rsidP="00112CFB">
      <w:pPr>
        <w:spacing w:line="600" w:lineRule="exact"/>
        <w:ind w:firstLineChars="1600" w:firstLine="5120"/>
        <w:jc w:val="left"/>
        <w:rPr>
          <w:rFonts w:ascii="仿宋" w:eastAsia="仿宋" w:hAnsi="仿宋" w:hint="eastAsia"/>
          <w:sz w:val="32"/>
          <w:szCs w:val="32"/>
        </w:rPr>
      </w:pPr>
    </w:p>
    <w:p w:rsidR="00243D63" w:rsidRDefault="00112CFB" w:rsidP="006500C0">
      <w:pPr>
        <w:spacing w:line="60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（联系人：市农业农村局 李月健   电话：2930334）</w:t>
      </w:r>
    </w:p>
    <w:p w:rsidR="006500C0" w:rsidRDefault="006500C0" w:rsidP="006500C0">
      <w:pPr>
        <w:spacing w:line="600" w:lineRule="exact"/>
        <w:jc w:val="center"/>
        <w:rPr>
          <w:rFonts w:ascii="仿宋_GB2312" w:eastAsia="仿宋_GB2312" w:hAnsi="仿宋_GB2312" w:cs="仿宋_GB2312" w:hint="eastAsia"/>
          <w:sz w:val="32"/>
          <w:szCs w:val="32"/>
        </w:rPr>
      </w:pPr>
    </w:p>
    <w:p w:rsidR="006500C0" w:rsidRPr="00C06CDA" w:rsidRDefault="006500C0" w:rsidP="006500C0">
      <w:pPr>
        <w:spacing w:line="600" w:lineRule="exact"/>
        <w:jc w:val="center"/>
        <w:rPr>
          <w:rFonts w:ascii="仿宋_GB2312" w:eastAsia="仿宋_GB2312" w:hAnsi="仿宋_GB2312" w:cs="仿宋_GB2312" w:hint="eastAsia"/>
          <w:sz w:val="32"/>
          <w:szCs w:val="32"/>
        </w:rPr>
      </w:pPr>
    </w:p>
    <w:tbl>
      <w:tblPr>
        <w:tblpPr w:leftFromText="180" w:rightFromText="180" w:vertAnchor="text" w:horzAnchor="margin" w:tblpY="361"/>
        <w:tblW w:w="0" w:type="auto"/>
        <w:tblBorders>
          <w:top w:val="single" w:sz="4" w:space="0" w:color="auto"/>
          <w:bottom w:val="single" w:sz="4" w:space="0" w:color="auto"/>
          <w:insideH w:val="single" w:sz="4" w:space="0" w:color="auto"/>
          <w:insideV w:val="single" w:sz="4" w:space="0" w:color="auto"/>
        </w:tblBorders>
        <w:tblLook w:val="01E0"/>
      </w:tblPr>
      <w:tblGrid>
        <w:gridCol w:w="9060"/>
      </w:tblGrid>
      <w:tr w:rsidR="00112CFB" w:rsidRPr="0028533B" w:rsidTr="006500C0">
        <w:trPr>
          <w:trHeight w:hRule="exact" w:val="580"/>
        </w:trPr>
        <w:tc>
          <w:tcPr>
            <w:tcW w:w="9060" w:type="dxa"/>
            <w:vAlign w:val="center"/>
          </w:tcPr>
          <w:p w:rsidR="00112CFB" w:rsidRPr="0028533B" w:rsidRDefault="00112CFB" w:rsidP="00B46869">
            <w:pPr>
              <w:widowControl/>
              <w:ind w:firstLineChars="100" w:firstLine="280"/>
              <w:rPr>
                <w:rFonts w:ascii="仿宋_GB2312" w:eastAsia="仿宋_GB2312" w:hint="eastAsia"/>
                <w:sz w:val="28"/>
                <w:szCs w:val="28"/>
              </w:rPr>
            </w:pPr>
            <w:r w:rsidRPr="0028533B">
              <w:rPr>
                <w:rFonts w:ascii="仿宋_GB2312" w:eastAsia="仿宋_GB2312" w:hint="eastAsia"/>
                <w:sz w:val="28"/>
                <w:szCs w:val="28"/>
              </w:rPr>
              <w:t>抄送：市政府办公室，市人大常委会人事代表选举工作委员会</w:t>
            </w:r>
            <w:r w:rsidR="006500C0">
              <w:rPr>
                <w:rFonts w:ascii="仿宋_GB2312" w:eastAsia="仿宋_GB2312" w:hint="eastAsia"/>
                <w:sz w:val="28"/>
                <w:szCs w:val="28"/>
              </w:rPr>
              <w:t>。</w:t>
            </w:r>
          </w:p>
        </w:tc>
      </w:tr>
      <w:tr w:rsidR="00112CFB" w:rsidRPr="0028533B" w:rsidTr="006500C0">
        <w:trPr>
          <w:trHeight w:hRule="exact" w:val="559"/>
        </w:trPr>
        <w:tc>
          <w:tcPr>
            <w:tcW w:w="9060" w:type="dxa"/>
            <w:vAlign w:val="center"/>
          </w:tcPr>
          <w:p w:rsidR="00112CFB" w:rsidRPr="0028533B" w:rsidRDefault="00112CFB" w:rsidP="00B46869">
            <w:pPr>
              <w:widowControl/>
              <w:ind w:firstLineChars="100" w:firstLine="280"/>
              <w:rPr>
                <w:rFonts w:ascii="仿宋_GB2312" w:eastAsia="仿宋_GB2312" w:hint="eastAsia"/>
                <w:sz w:val="28"/>
                <w:szCs w:val="28"/>
              </w:rPr>
            </w:pPr>
            <w:r w:rsidRPr="0028533B">
              <w:rPr>
                <w:rFonts w:ascii="仿宋_GB2312" w:eastAsia="仿宋_GB2312" w:hint="eastAsia"/>
                <w:sz w:val="28"/>
                <w:szCs w:val="28"/>
              </w:rPr>
              <w:t>渭南市农业农村局办公室</w:t>
            </w:r>
            <w:r>
              <w:rPr>
                <w:rFonts w:ascii="仿宋_GB2312" w:eastAsia="仿宋_GB2312" w:hint="eastAsia"/>
                <w:sz w:val="28"/>
                <w:szCs w:val="28"/>
              </w:rPr>
              <w:t xml:space="preserve">                </w:t>
            </w:r>
            <w:r w:rsidRPr="0028533B">
              <w:rPr>
                <w:rFonts w:ascii="仿宋_GB2312" w:eastAsia="仿宋_GB2312" w:hint="eastAsia"/>
                <w:sz w:val="28"/>
                <w:szCs w:val="28"/>
              </w:rPr>
              <w:t>20</w:t>
            </w:r>
            <w:r>
              <w:rPr>
                <w:rFonts w:ascii="仿宋_GB2312" w:eastAsia="仿宋_GB2312" w:hint="eastAsia"/>
                <w:sz w:val="28"/>
                <w:szCs w:val="28"/>
              </w:rPr>
              <w:t>2</w:t>
            </w:r>
            <w:r w:rsidR="006500C0">
              <w:rPr>
                <w:rFonts w:ascii="仿宋_GB2312" w:eastAsia="仿宋_GB2312" w:hint="eastAsia"/>
                <w:sz w:val="28"/>
                <w:szCs w:val="28"/>
              </w:rPr>
              <w:t>1</w:t>
            </w:r>
            <w:r w:rsidRPr="0028533B">
              <w:rPr>
                <w:rFonts w:ascii="仿宋_GB2312" w:eastAsia="仿宋_GB2312" w:hint="eastAsia"/>
                <w:sz w:val="28"/>
                <w:szCs w:val="28"/>
              </w:rPr>
              <w:t>年</w:t>
            </w:r>
            <w:r>
              <w:rPr>
                <w:rFonts w:ascii="仿宋_GB2312" w:eastAsia="仿宋_GB2312" w:hint="eastAsia"/>
                <w:sz w:val="28"/>
                <w:szCs w:val="28"/>
              </w:rPr>
              <w:t>7</w:t>
            </w:r>
            <w:r w:rsidRPr="0028533B">
              <w:rPr>
                <w:rFonts w:ascii="仿宋_GB2312" w:eastAsia="仿宋_GB2312" w:hint="eastAsia"/>
                <w:sz w:val="28"/>
                <w:szCs w:val="28"/>
              </w:rPr>
              <w:t>月</w:t>
            </w:r>
            <w:r>
              <w:rPr>
                <w:rFonts w:ascii="仿宋_GB2312" w:eastAsia="仿宋_GB2312" w:hint="eastAsia"/>
                <w:sz w:val="28"/>
                <w:szCs w:val="28"/>
              </w:rPr>
              <w:t>14</w:t>
            </w:r>
            <w:r w:rsidRPr="0028533B">
              <w:rPr>
                <w:rFonts w:ascii="仿宋_GB2312" w:eastAsia="仿宋_GB2312" w:hint="eastAsia"/>
                <w:sz w:val="28"/>
                <w:szCs w:val="28"/>
              </w:rPr>
              <w:t>日印发</w:t>
            </w:r>
          </w:p>
        </w:tc>
      </w:tr>
    </w:tbl>
    <w:p w:rsidR="006500C0" w:rsidRDefault="006500C0" w:rsidP="006500C0">
      <w:pPr>
        <w:rPr>
          <w:rFonts w:hint="eastAsia"/>
        </w:rPr>
      </w:pPr>
    </w:p>
    <w:p w:rsidR="006500C0" w:rsidRDefault="006500C0" w:rsidP="006500C0">
      <w:pPr>
        <w:rPr>
          <w:rFonts w:hint="eastAsia"/>
        </w:rPr>
      </w:pPr>
    </w:p>
    <w:sectPr w:rsidR="006500C0" w:rsidSect="006500C0">
      <w:footerReference w:type="default" r:id="rId6"/>
      <w:pgSz w:w="11906" w:h="16838"/>
      <w:pgMar w:top="2098" w:right="1474" w:bottom="1985" w:left="1588" w:header="851" w:footer="992" w:gutter="0"/>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2666" w:rsidRDefault="00582666" w:rsidP="00112CFB">
      <w:r>
        <w:separator/>
      </w:r>
    </w:p>
  </w:endnote>
  <w:endnote w:type="continuationSeparator" w:id="1">
    <w:p w:rsidR="00582666" w:rsidRDefault="00582666" w:rsidP="00112C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18136"/>
      <w:docPartObj>
        <w:docPartGallery w:val="Page Numbers (Bottom of Page)"/>
        <w:docPartUnique/>
      </w:docPartObj>
    </w:sdtPr>
    <w:sdtEndPr>
      <w:rPr>
        <w:rFonts w:asciiTheme="majorEastAsia" w:eastAsiaTheme="majorEastAsia" w:hAnsiTheme="majorEastAsia"/>
        <w:sz w:val="28"/>
        <w:szCs w:val="28"/>
      </w:rPr>
    </w:sdtEndPr>
    <w:sdtContent>
      <w:p w:rsidR="002E7E74" w:rsidRDefault="002E7E74">
        <w:pPr>
          <w:pStyle w:val="a4"/>
          <w:jc w:val="center"/>
        </w:pPr>
        <w:r w:rsidRPr="006514C9">
          <w:rPr>
            <w:rFonts w:asciiTheme="majorEastAsia" w:eastAsiaTheme="majorEastAsia" w:hAnsiTheme="majorEastAsia"/>
            <w:sz w:val="28"/>
            <w:szCs w:val="28"/>
          </w:rPr>
          <w:fldChar w:fldCharType="begin"/>
        </w:r>
        <w:r w:rsidRPr="006514C9">
          <w:rPr>
            <w:rFonts w:asciiTheme="majorEastAsia" w:eastAsiaTheme="majorEastAsia" w:hAnsiTheme="majorEastAsia"/>
            <w:sz w:val="28"/>
            <w:szCs w:val="28"/>
          </w:rPr>
          <w:instrText xml:space="preserve"> PAGE   \* MERGEFORMAT </w:instrText>
        </w:r>
        <w:r w:rsidRPr="006514C9">
          <w:rPr>
            <w:rFonts w:asciiTheme="majorEastAsia" w:eastAsiaTheme="majorEastAsia" w:hAnsiTheme="majorEastAsia"/>
            <w:sz w:val="28"/>
            <w:szCs w:val="28"/>
          </w:rPr>
          <w:fldChar w:fldCharType="separate"/>
        </w:r>
        <w:r w:rsidR="006514C9" w:rsidRPr="006514C9">
          <w:rPr>
            <w:rFonts w:asciiTheme="majorEastAsia" w:eastAsiaTheme="majorEastAsia" w:hAnsiTheme="majorEastAsia"/>
            <w:noProof/>
            <w:sz w:val="28"/>
            <w:szCs w:val="28"/>
            <w:lang w:val="zh-CN"/>
          </w:rPr>
          <w:t>-</w:t>
        </w:r>
        <w:r w:rsidR="006514C9">
          <w:rPr>
            <w:rFonts w:asciiTheme="majorEastAsia" w:eastAsiaTheme="majorEastAsia" w:hAnsiTheme="majorEastAsia"/>
            <w:noProof/>
            <w:sz w:val="28"/>
            <w:szCs w:val="28"/>
          </w:rPr>
          <w:t xml:space="preserve"> 2 -</w:t>
        </w:r>
        <w:r w:rsidRPr="006514C9">
          <w:rPr>
            <w:rFonts w:asciiTheme="majorEastAsia" w:eastAsiaTheme="majorEastAsia" w:hAnsiTheme="majorEastAsia"/>
            <w:sz w:val="28"/>
            <w:szCs w:val="28"/>
          </w:rPr>
          <w:fldChar w:fldCharType="end"/>
        </w:r>
      </w:p>
    </w:sdtContent>
  </w:sdt>
  <w:p w:rsidR="00881ACF" w:rsidRDefault="00881AC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2666" w:rsidRDefault="00582666" w:rsidP="00112CFB">
      <w:r>
        <w:separator/>
      </w:r>
    </w:p>
  </w:footnote>
  <w:footnote w:type="continuationSeparator" w:id="1">
    <w:p w:rsidR="00582666" w:rsidRDefault="00582666" w:rsidP="00112C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2CFB"/>
    <w:rsid w:val="00112CFB"/>
    <w:rsid w:val="00243D63"/>
    <w:rsid w:val="002E7E74"/>
    <w:rsid w:val="00582666"/>
    <w:rsid w:val="006500C0"/>
    <w:rsid w:val="006514C9"/>
    <w:rsid w:val="00881ACF"/>
    <w:rsid w:val="008A1CBE"/>
    <w:rsid w:val="009A1A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12CF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12CF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12CFB"/>
    <w:rPr>
      <w:sz w:val="18"/>
      <w:szCs w:val="18"/>
    </w:rPr>
  </w:style>
  <w:style w:type="paragraph" w:styleId="a4">
    <w:name w:val="footer"/>
    <w:basedOn w:val="a"/>
    <w:link w:val="Char0"/>
    <w:uiPriority w:val="99"/>
    <w:unhideWhenUsed/>
    <w:rsid w:val="00112CF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12CFB"/>
    <w:rPr>
      <w:sz w:val="18"/>
      <w:szCs w:val="18"/>
    </w:rPr>
  </w:style>
  <w:style w:type="character" w:customStyle="1" w:styleId="NormalCharacter">
    <w:name w:val="NormalCharacter"/>
    <w:uiPriority w:val="99"/>
    <w:rsid w:val="00112CF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315</Words>
  <Characters>1796</Characters>
  <Application>Microsoft Office Word</Application>
  <DocSecurity>0</DocSecurity>
  <Lines>14</Lines>
  <Paragraphs>4</Paragraphs>
  <ScaleCrop>false</ScaleCrop>
  <Company/>
  <LinksUpToDate>false</LinksUpToDate>
  <CharactersWithSpaces>2107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c:creator>
  <cp:keywords/>
  <dc:description/>
  <cp:lastModifiedBy>yan</cp:lastModifiedBy>
  <cp:revision>8</cp:revision>
  <cp:lastPrinted>2021-08-02T10:37:00Z</cp:lastPrinted>
  <dcterms:created xsi:type="dcterms:W3CDTF">2021-08-02T10:19:00Z</dcterms:created>
  <dcterms:modified xsi:type="dcterms:W3CDTF">2021-08-02T10:47:00Z</dcterms:modified>
</cp:coreProperties>
</file>