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640" w:lineRule="exact"/>
        <w:textAlignment w:val="auto"/>
        <w:rPr>
          <w:rFonts w:hint="eastAsia" w:ascii="仿宋_GB2312" w:hAnsi="仿宋_GB2312" w:eastAsia="仿宋_GB2312" w:cs="仿宋_GB2312"/>
          <w:sz w:val="32"/>
          <w:szCs w:val="32"/>
          <w:lang w:val="en-US" w:eastAsia="zh-CN"/>
        </w:rPr>
      </w:pPr>
    </w:p>
    <w:p>
      <w:pPr>
        <w:pageBreakBefore w:val="0"/>
        <w:widowControl w:val="0"/>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对市五届人大七次会议</w:t>
      </w:r>
      <w:bookmarkStart w:id="0" w:name="_GoBack"/>
      <w:r>
        <w:rPr>
          <w:rFonts w:hint="eastAsia" w:ascii="宋体" w:hAnsi="宋体" w:eastAsia="宋体" w:cs="宋体"/>
          <w:b/>
          <w:bCs/>
          <w:sz w:val="44"/>
          <w:szCs w:val="44"/>
          <w:lang w:val="en-US" w:eastAsia="zh-CN"/>
        </w:rPr>
        <w:t>第116号</w:t>
      </w:r>
    </w:p>
    <w:p>
      <w:pPr>
        <w:pStyle w:val="2"/>
        <w:jc w:val="center"/>
        <w:rPr>
          <w:rFonts w:hint="eastAsia" w:ascii="宋体" w:hAnsi="宋体" w:eastAsia="宋体" w:cs="宋体"/>
          <w:b/>
          <w:bCs/>
          <w:sz w:val="40"/>
          <w:szCs w:val="24"/>
          <w:lang w:val="en-US" w:eastAsia="zh-CN"/>
        </w:rPr>
      </w:pPr>
      <w:r>
        <w:rPr>
          <w:rFonts w:hint="eastAsia" w:ascii="宋体" w:hAnsi="宋体" w:eastAsia="宋体" w:cs="宋体"/>
          <w:b/>
          <w:bCs/>
          <w:sz w:val="44"/>
          <w:szCs w:val="44"/>
          <w:lang w:val="en-US" w:eastAsia="zh-CN"/>
        </w:rPr>
        <w:t>提案的复函</w:t>
      </w:r>
    </w:p>
    <w:bookmarkEnd w:id="0"/>
    <w:p>
      <w:pPr>
        <w:pageBreakBefore w:val="0"/>
        <w:widowControl w:val="0"/>
        <w:kinsoku/>
        <w:wordWrap/>
        <w:overflowPunct/>
        <w:topLinePunct w:val="0"/>
        <w:autoSpaceDE/>
        <w:autoSpaceDN/>
        <w:bidi w:val="0"/>
        <w:adjustRightInd/>
        <w:snapToGrid/>
        <w:spacing w:line="640" w:lineRule="exact"/>
        <w:textAlignment w:val="auto"/>
        <w:rPr>
          <w:rFonts w:hint="eastAsia" w:ascii="仿宋_GB2312" w:hAnsi="仿宋_GB2312" w:eastAsia="仿宋_GB2312" w:cs="仿宋_GB2312"/>
          <w:sz w:val="32"/>
          <w:szCs w:val="32"/>
          <w:lang w:val="en-US" w:eastAsia="zh-CN"/>
        </w:rPr>
      </w:pPr>
    </w:p>
    <w:p>
      <w:pPr>
        <w:pageBreakBefore w:val="0"/>
        <w:widowControl w:val="0"/>
        <w:kinsoku/>
        <w:wordWrap/>
        <w:overflowPunct/>
        <w:topLinePunct w:val="0"/>
        <w:autoSpaceDE/>
        <w:autoSpaceDN/>
        <w:bidi w:val="0"/>
        <w:adjustRightInd/>
        <w:snapToGrid/>
        <w:spacing w:line="6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肖万顺代表：</w:t>
      </w:r>
    </w:p>
    <w:p>
      <w:pPr>
        <w:pStyle w:val="2"/>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您提出的《关于加大渭南北部地区高标准农田建设的建议》（第116号）收悉，现答复如下：</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kern w:val="2"/>
          <w:sz w:val="32"/>
          <w:szCs w:val="32"/>
          <w:lang w:val="en-US" w:eastAsia="zh-CN" w:bidi="ar-SA"/>
        </w:rPr>
        <w:t>建设高标准农田，是巩固和提高粮食生产能力、保障国家粮食安全的关键举措。</w:t>
      </w:r>
      <w:r>
        <w:rPr>
          <w:rFonts w:hint="eastAsia" w:ascii="仿宋_GB2312" w:hAnsi="仿宋_GB2312" w:eastAsia="仿宋_GB2312" w:cs="仿宋_GB2312"/>
          <w:kern w:val="2"/>
          <w:sz w:val="32"/>
          <w:szCs w:val="32"/>
          <w:lang w:val="en-US" w:eastAsia="zh-CN" w:bidi="ar-SA"/>
        </w:rPr>
        <w:t>2019年以来，渭南市农业农村局紧紧围绕实施乡村振兴战略，推动“藏粮于地、藏粮于技”战略加快实施。以提升农业综合生产能力为主线，以粮食生产功能区为重点开展高标准农田建设，因地制宜发展高效节水灌溉，抓好高标准农田建设，推动农业高质量发展，不断夯实我市粮食安全保障基础。</w:t>
      </w:r>
      <w:r>
        <w:rPr>
          <w:rFonts w:hint="default" w:ascii="仿宋_GB2312" w:hAnsi="仿宋_GB2312" w:eastAsia="仿宋_GB2312" w:cs="仿宋_GB2312"/>
          <w:kern w:val="2"/>
          <w:sz w:val="32"/>
          <w:szCs w:val="32"/>
          <w:lang w:val="en-US" w:eastAsia="zh-CN" w:bidi="ar-SA"/>
        </w:rPr>
        <w:t>2019年度</w:t>
      </w:r>
      <w:r>
        <w:rPr>
          <w:rFonts w:hint="eastAsia" w:ascii="仿宋_GB2312" w:hAnsi="仿宋_GB2312" w:eastAsia="仿宋_GB2312" w:cs="仿宋_GB2312"/>
          <w:kern w:val="2"/>
          <w:sz w:val="32"/>
          <w:szCs w:val="32"/>
          <w:lang w:val="en-US" w:eastAsia="zh-CN" w:bidi="ar-SA"/>
        </w:rPr>
        <w:t>渭南市</w:t>
      </w:r>
      <w:r>
        <w:rPr>
          <w:rFonts w:hint="default" w:ascii="仿宋_GB2312" w:hAnsi="仿宋_GB2312" w:eastAsia="仿宋_GB2312" w:cs="仿宋_GB2312"/>
          <w:kern w:val="2"/>
          <w:sz w:val="32"/>
          <w:szCs w:val="32"/>
          <w:lang w:val="en-US" w:eastAsia="zh-CN" w:bidi="ar-SA"/>
        </w:rPr>
        <w:t>高标准农田项目</w:t>
      </w:r>
      <w:r>
        <w:rPr>
          <w:rFonts w:hint="default" w:ascii="仿宋_GB2312" w:hAnsi="仿宋_GB2312" w:eastAsia="仿宋_GB2312" w:cs="仿宋_GB2312"/>
          <w:sz w:val="32"/>
          <w:szCs w:val="32"/>
          <w:lang w:val="en-US" w:eastAsia="zh-CN"/>
        </w:rPr>
        <w:t>治理面积共计29.65万亩，其中高效节水16.5万亩，总投资额达37033.68万元，含</w:t>
      </w:r>
      <w:r>
        <w:rPr>
          <w:rFonts w:hint="eastAsia" w:ascii="仿宋_GB2312" w:hAnsi="仿宋_GB2312" w:eastAsia="仿宋_GB2312" w:cs="仿宋_GB2312"/>
          <w:sz w:val="32"/>
          <w:szCs w:val="32"/>
          <w:lang w:val="en-US" w:eastAsia="zh-CN"/>
        </w:rPr>
        <w:t>市级配套资金500万元，</w:t>
      </w:r>
      <w:r>
        <w:rPr>
          <w:rFonts w:hint="default" w:ascii="仿宋_GB2312" w:hAnsi="仿宋_GB2312" w:eastAsia="仿宋_GB2312" w:cs="仿宋_GB2312"/>
          <w:sz w:val="32"/>
          <w:szCs w:val="32"/>
          <w:lang w:val="en-US" w:eastAsia="zh-CN"/>
        </w:rPr>
        <w:t>自筹资金389.43万元。</w:t>
      </w:r>
      <w:r>
        <w:rPr>
          <w:rFonts w:hint="eastAsia" w:ascii="仿宋_GB2312" w:hAnsi="仿宋_GB2312" w:eastAsia="仿宋_GB2312" w:cs="仿宋_GB2312"/>
          <w:sz w:val="32"/>
          <w:szCs w:val="32"/>
          <w:lang w:val="en-US" w:eastAsia="zh-CN"/>
        </w:rPr>
        <w:t>2020年，渭南市高标准农田建设项目29.02万亩，高效节水19.36万亩。财政资金共计35398.325万元，已全部下达各县市区。2021年省厅下达任务44.48万亩（包含东雷一区、二区抽黄灌区各5万亩），目前中省资金36630万元，市级配套500万元均已全部拨付到位。</w:t>
      </w:r>
    </w:p>
    <w:p>
      <w:pPr>
        <w:spacing w:line="6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“十二五”至</w:t>
      </w:r>
      <w:r>
        <w:rPr>
          <w:rFonts w:hint="eastAsia" w:ascii="仿宋" w:hAnsi="仿宋" w:eastAsia="仿宋" w:cs="仿宋"/>
          <w:sz w:val="32"/>
          <w:szCs w:val="32"/>
          <w:lang w:val="en-US" w:eastAsia="zh-CN"/>
        </w:rPr>
        <w:t>2020年，合阳县</w:t>
      </w:r>
      <w:r>
        <w:rPr>
          <w:rFonts w:hint="eastAsia" w:ascii="仿宋" w:hAnsi="仿宋" w:eastAsia="仿宋" w:cs="仿宋"/>
          <w:sz w:val="32"/>
          <w:szCs w:val="32"/>
          <w:lang w:eastAsia="zh-CN"/>
        </w:rPr>
        <w:t>建设</w:t>
      </w:r>
      <w:r>
        <w:rPr>
          <w:rFonts w:hint="eastAsia" w:ascii="仿宋" w:hAnsi="仿宋" w:eastAsia="仿宋" w:cs="仿宋"/>
          <w:sz w:val="32"/>
          <w:szCs w:val="32"/>
        </w:rPr>
        <w:t>高标准基本农田</w:t>
      </w:r>
      <w:r>
        <w:rPr>
          <w:rFonts w:hint="eastAsia" w:ascii="仿宋" w:hAnsi="仿宋" w:eastAsia="仿宋" w:cs="仿宋"/>
          <w:sz w:val="32"/>
          <w:szCs w:val="32"/>
          <w:lang w:eastAsia="zh-CN"/>
        </w:rPr>
        <w:t>（包括中低产田改造项目、农田水利建设项目）</w:t>
      </w:r>
      <w:r>
        <w:rPr>
          <w:rFonts w:hint="eastAsia" w:ascii="仿宋" w:hAnsi="仿宋" w:eastAsia="仿宋" w:cs="仿宋"/>
          <w:sz w:val="32"/>
          <w:szCs w:val="32"/>
        </w:rPr>
        <w:t>共</w:t>
      </w:r>
      <w:r>
        <w:rPr>
          <w:rFonts w:hint="eastAsia" w:ascii="仿宋" w:hAnsi="仿宋" w:eastAsia="仿宋" w:cs="仿宋"/>
          <w:sz w:val="32"/>
          <w:szCs w:val="32"/>
          <w:lang w:val="en-US" w:eastAsia="zh-CN"/>
        </w:rPr>
        <w:t>46</w:t>
      </w:r>
      <w:r>
        <w:rPr>
          <w:rFonts w:hint="eastAsia" w:ascii="仿宋" w:hAnsi="仿宋" w:eastAsia="仿宋" w:cs="仿宋"/>
          <w:sz w:val="32"/>
          <w:szCs w:val="32"/>
        </w:rPr>
        <w:t>万亩，</w:t>
      </w:r>
      <w:r>
        <w:rPr>
          <w:rFonts w:hint="eastAsia" w:ascii="仿宋" w:hAnsi="仿宋" w:eastAsia="仿宋" w:cs="仿宋"/>
          <w:sz w:val="32"/>
          <w:szCs w:val="32"/>
          <w:lang w:eastAsia="zh-CN"/>
        </w:rPr>
        <w:t>其中，</w:t>
      </w:r>
      <w:r>
        <w:rPr>
          <w:rFonts w:hint="eastAsia" w:ascii="仿宋" w:hAnsi="仿宋" w:eastAsia="仿宋" w:cs="仿宋"/>
          <w:sz w:val="32"/>
          <w:szCs w:val="32"/>
          <w:lang w:val="en-US" w:eastAsia="zh-CN"/>
        </w:rPr>
        <w:t>2018年以前主要由</w:t>
      </w:r>
      <w:r>
        <w:rPr>
          <w:rFonts w:hint="eastAsia" w:ascii="仿宋" w:hAnsi="仿宋" w:eastAsia="仿宋" w:cs="仿宋"/>
          <w:sz w:val="32"/>
          <w:szCs w:val="32"/>
          <w:lang w:eastAsia="zh-CN"/>
        </w:rPr>
        <w:t>自然资源</w:t>
      </w:r>
      <w:r>
        <w:rPr>
          <w:rFonts w:hint="eastAsia" w:ascii="仿宋" w:hAnsi="仿宋" w:eastAsia="仿宋" w:cs="仿宋"/>
          <w:sz w:val="32"/>
          <w:szCs w:val="32"/>
        </w:rPr>
        <w:t>局</w:t>
      </w:r>
      <w:r>
        <w:rPr>
          <w:rFonts w:hint="eastAsia" w:ascii="仿宋" w:hAnsi="仿宋" w:eastAsia="仿宋" w:cs="仿宋"/>
          <w:sz w:val="32"/>
          <w:szCs w:val="32"/>
          <w:lang w:eastAsia="zh-CN"/>
        </w:rPr>
        <w:t>、水务局、农业综合开发办公室具体实施。</w:t>
      </w:r>
      <w:r>
        <w:rPr>
          <w:rFonts w:hint="eastAsia" w:ascii="仿宋" w:hAnsi="仿宋" w:eastAsia="仿宋" w:cs="仿宋"/>
          <w:sz w:val="32"/>
          <w:szCs w:val="32"/>
          <w:lang w:val="en-US" w:eastAsia="zh-CN"/>
        </w:rPr>
        <w:t>2019年农业农村局实施了3.2万亩高标准农田建设项目，总投资5070万元，2020年实施了3.4万亩高效节水灌溉建设项目，总投资3600.01万元。2021年计划实施高标准农田项目6.5万亩。</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FangSong_GB2312" w:hAnsi="仿宋" w:eastAsia="FangSong_GB2312" w:cs="仿宋"/>
          <w:sz w:val="32"/>
          <w:szCs w:val="32"/>
          <w:lang w:val="en-US" w:eastAsia="zh-CN"/>
        </w:rPr>
      </w:pPr>
      <w:r>
        <w:rPr>
          <w:rFonts w:hint="eastAsia" w:ascii="FangSong_GB2312" w:hAnsi="仿宋" w:eastAsia="FangSong_GB2312" w:cs="仿宋"/>
          <w:sz w:val="32"/>
          <w:szCs w:val="32"/>
          <w:lang w:val="en-US" w:eastAsia="zh-CN"/>
        </w:rPr>
        <w:t>我市渭北早塬属雨养农业区，地势平坦，土层深厚，光照充足，雨热同季，耕地集中连片，是我省重要的粮食生产区。我市高标准农田建设的主要内容是灌溉工程及其配套的引水蓄水保水工程、农用输配电及田间输水管道建设等，而田间道路和土壤改良等工程仅为辅助建设内容。2019年</w:t>
      </w:r>
      <w:r>
        <w:rPr>
          <w:rFonts w:hint="eastAsia" w:ascii="FangSong_GB2312" w:hAnsi="仿宋" w:eastAsia="FangSong_GB2312" w:cs="仿宋"/>
          <w:sz w:val="32"/>
          <w:szCs w:val="32"/>
        </w:rPr>
        <w:t>以来，</w:t>
      </w:r>
      <w:r>
        <w:rPr>
          <w:rFonts w:hint="eastAsia" w:ascii="FangSong_GB2312" w:hAnsi="仿宋" w:eastAsia="FangSong_GB2312" w:cs="仿宋"/>
          <w:sz w:val="32"/>
          <w:szCs w:val="32"/>
          <w:lang w:eastAsia="zh-CN"/>
        </w:rPr>
        <w:t>全市农业农村部门</w:t>
      </w:r>
      <w:r>
        <w:rPr>
          <w:rFonts w:hint="eastAsia" w:ascii="FangSong_GB2312" w:hAnsi="仿宋" w:eastAsia="FangSong_GB2312" w:cs="仿宋"/>
          <w:sz w:val="32"/>
          <w:szCs w:val="32"/>
        </w:rPr>
        <w:t>努力克服新冠肺炎疫情冲击和重大洪涝灾害影响，加强统筹协调，强化督促指导，千方百计加快建设进度，严把建设质量关口，</w:t>
      </w:r>
      <w:r>
        <w:rPr>
          <w:rFonts w:hint="eastAsia" w:ascii="FangSong_GB2312" w:hAnsi="仿宋" w:eastAsia="FangSong_GB2312" w:cs="仿宋"/>
          <w:sz w:val="32"/>
          <w:szCs w:val="32"/>
          <w:lang w:eastAsia="zh-CN"/>
        </w:rPr>
        <w:t>农田水利基础设施</w:t>
      </w:r>
      <w:r>
        <w:rPr>
          <w:rFonts w:hint="eastAsia" w:ascii="FangSong_GB2312" w:hAnsi="仿宋" w:eastAsia="FangSong_GB2312" w:cs="仿宋"/>
          <w:sz w:val="32"/>
          <w:szCs w:val="32"/>
        </w:rPr>
        <w:t>建设取得实效。</w:t>
      </w:r>
      <w:r>
        <w:rPr>
          <w:rFonts w:hint="eastAsia" w:ascii="FangSong_GB2312" w:hAnsi="仿宋" w:eastAsia="FangSong_GB2312" w:cs="仿宋"/>
          <w:sz w:val="32"/>
          <w:szCs w:val="32"/>
          <w:lang w:eastAsia="zh-CN"/>
        </w:rPr>
        <w:t>我市共建成集中连片、旱涝保收、高产稳产的高标准农田</w:t>
      </w:r>
      <w:r>
        <w:rPr>
          <w:rFonts w:hint="eastAsia" w:ascii="FangSong_GB2312" w:hAnsi="仿宋" w:eastAsia="FangSong_GB2312" w:cs="仿宋"/>
          <w:sz w:val="32"/>
          <w:szCs w:val="32"/>
          <w:lang w:val="en-US" w:eastAsia="zh-CN"/>
        </w:rPr>
        <w:t>29.65万亩，共新建农用灌溉井538座，塘堰（坝）蓄水池188座，小型集雨设施30座，泵站52座，疏浚沟渠1.2公里，衬砌明渠229.18公里，排水暗渠（管）23.36公里，渠系建筑物488个；建成管灌类高效节水田块15.56万亩，微灌类高效节水田块0.71万亩。另有</w:t>
      </w:r>
      <w:r>
        <w:rPr>
          <w:rFonts w:hint="eastAsia" w:ascii="仿宋_GB2312" w:hAnsi="仿宋_GB2312" w:eastAsia="仿宋_GB2312" w:cs="仿宋_GB2312"/>
          <w:sz w:val="32"/>
          <w:szCs w:val="32"/>
          <w:lang w:val="en-US" w:eastAsia="zh-CN"/>
        </w:rPr>
        <w:t>29.02万亩正在建设当中，</w:t>
      </w:r>
      <w:r>
        <w:rPr>
          <w:rFonts w:hint="eastAsia" w:ascii="FangSong_GB2312" w:hAnsi="仿宋" w:eastAsia="FangSong_GB2312" w:cs="仿宋"/>
          <w:sz w:val="32"/>
          <w:szCs w:val="32"/>
          <w:lang w:val="en-US" w:eastAsia="zh-CN"/>
        </w:rPr>
        <w:t>44.48万亩已经规划即将开工建设，预计在2021年底完成建设任务。</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FangSong_GB2312" w:hAnsi="仿宋" w:eastAsia="FangSong_GB2312" w:cs="仿宋"/>
          <w:sz w:val="32"/>
          <w:szCs w:val="32"/>
          <w:lang w:val="en-US" w:eastAsia="zh-CN"/>
        </w:rPr>
      </w:pPr>
      <w:r>
        <w:rPr>
          <w:rFonts w:hint="eastAsia" w:ascii="FangSong_GB2312" w:hAnsi="仿宋" w:eastAsia="FangSong_GB2312" w:cs="仿宋"/>
          <w:sz w:val="32"/>
          <w:szCs w:val="32"/>
        </w:rPr>
        <w:t>经过</w:t>
      </w:r>
      <w:r>
        <w:rPr>
          <w:rFonts w:hint="eastAsia" w:ascii="FangSong_GB2312" w:hAnsi="仿宋" w:eastAsia="FangSong_GB2312" w:cs="仿宋"/>
          <w:sz w:val="32"/>
          <w:szCs w:val="32"/>
          <w:lang w:eastAsia="zh-CN"/>
        </w:rPr>
        <w:t>项目</w:t>
      </w:r>
      <w:r>
        <w:rPr>
          <w:rFonts w:hint="eastAsia" w:ascii="FangSong_GB2312" w:hAnsi="仿宋" w:eastAsia="FangSong_GB2312" w:cs="仿宋"/>
          <w:sz w:val="32"/>
          <w:szCs w:val="32"/>
        </w:rPr>
        <w:t>实施，有效改善</w:t>
      </w:r>
      <w:r>
        <w:rPr>
          <w:rFonts w:hint="eastAsia" w:ascii="FangSong_GB2312" w:hAnsi="仿宋" w:eastAsia="FangSong_GB2312" w:cs="仿宋"/>
          <w:sz w:val="32"/>
          <w:szCs w:val="32"/>
          <w:lang w:val="en-US" w:eastAsia="zh-CN"/>
        </w:rPr>
        <w:t>了</w:t>
      </w:r>
      <w:r>
        <w:rPr>
          <w:rFonts w:hint="eastAsia" w:ascii="FangSong_GB2312" w:hAnsi="仿宋" w:eastAsia="FangSong_GB2312" w:cs="仿宋"/>
          <w:sz w:val="32"/>
          <w:szCs w:val="32"/>
        </w:rPr>
        <w:t>农业生产条件，提高</w:t>
      </w:r>
      <w:r>
        <w:rPr>
          <w:rFonts w:hint="eastAsia" w:ascii="FangSong_GB2312" w:hAnsi="仿宋" w:eastAsia="FangSong_GB2312" w:cs="仿宋"/>
          <w:sz w:val="32"/>
          <w:szCs w:val="32"/>
          <w:lang w:val="en-US" w:eastAsia="zh-CN"/>
        </w:rPr>
        <w:t>了</w:t>
      </w:r>
      <w:r>
        <w:rPr>
          <w:rFonts w:hint="eastAsia" w:ascii="FangSong_GB2312" w:hAnsi="仿宋" w:eastAsia="FangSong_GB2312" w:cs="仿宋"/>
          <w:sz w:val="32"/>
          <w:szCs w:val="32"/>
        </w:rPr>
        <w:t>耕地生产效率，</w:t>
      </w:r>
      <w:r>
        <w:rPr>
          <w:rFonts w:hint="eastAsia" w:ascii="FangSong_GB2312" w:hAnsi="仿宋" w:eastAsia="FangSong_GB2312" w:cs="仿宋"/>
          <w:sz w:val="32"/>
          <w:szCs w:val="32"/>
          <w:lang w:val="en-US" w:eastAsia="zh-CN"/>
        </w:rPr>
        <w:t>2020年我市粮食总产249万吨，</w:t>
      </w:r>
      <w:r>
        <w:rPr>
          <w:rFonts w:hint="eastAsia" w:ascii="FangSong_GB2312" w:hAnsi="仿宋" w:eastAsia="FangSong_GB2312" w:cs="仿宋"/>
          <w:sz w:val="32"/>
          <w:szCs w:val="32"/>
        </w:rPr>
        <w:t>实现全年粮食增产12</w:t>
      </w:r>
      <w:r>
        <w:rPr>
          <w:rFonts w:hint="eastAsia" w:ascii="FangSong_GB2312" w:hAnsi="仿宋" w:eastAsia="FangSong_GB2312" w:cs="仿宋"/>
          <w:sz w:val="32"/>
          <w:szCs w:val="32"/>
          <w:lang w:val="en-US" w:eastAsia="zh-CN"/>
        </w:rPr>
        <w:t>.2</w:t>
      </w:r>
      <w:r>
        <w:rPr>
          <w:rFonts w:hint="eastAsia" w:ascii="FangSong_GB2312" w:hAnsi="仿宋" w:eastAsia="FangSong_GB2312" w:cs="仿宋"/>
          <w:sz w:val="32"/>
          <w:szCs w:val="32"/>
        </w:rPr>
        <w:t>%，喜获粮食“十七连丰”。</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FangSong_GB2312" w:hAnsi="仿宋" w:eastAsia="FangSong_GB2312" w:cs="仿宋"/>
          <w:sz w:val="32"/>
          <w:szCs w:val="32"/>
        </w:rPr>
      </w:pPr>
      <w:r>
        <w:rPr>
          <w:rFonts w:hint="eastAsia" w:ascii="FangSong_GB2312" w:hAnsi="仿宋" w:eastAsia="FangSong_GB2312" w:cs="仿宋"/>
          <w:sz w:val="32"/>
          <w:szCs w:val="32"/>
        </w:rPr>
        <w:t>我市</w:t>
      </w:r>
      <w:r>
        <w:rPr>
          <w:rFonts w:hint="default" w:ascii="FangSong_GB2312" w:hAnsi="仿宋" w:eastAsia="FangSong_GB2312" w:cs="仿宋"/>
          <w:sz w:val="32"/>
          <w:szCs w:val="32"/>
        </w:rPr>
        <w:t>多年来通过优质粮食工程、农业综合开发、农田水利建设等多种方式和途径，持续加大资金投入支持，不断强化农田基础设施建设，改善农田基础设施条件，为保障国家粮食安全和重要农产品有效供给提供了有力支撑</w:t>
      </w:r>
      <w:r>
        <w:rPr>
          <w:rFonts w:hint="eastAsia" w:ascii="FangSong_GB2312" w:hAnsi="仿宋" w:eastAsia="FangSong_GB2312" w:cs="仿宋"/>
          <w:sz w:val="32"/>
          <w:szCs w:val="32"/>
          <w:lang w:eastAsia="zh-CN"/>
        </w:rPr>
        <w:t>，</w:t>
      </w:r>
      <w:r>
        <w:rPr>
          <w:rFonts w:hint="eastAsia" w:ascii="FangSong_GB2312" w:hAnsi="仿宋" w:eastAsia="FangSong_GB2312" w:cs="仿宋"/>
          <w:sz w:val="32"/>
          <w:szCs w:val="32"/>
        </w:rPr>
        <w:t>但诚如议案中所言，仍存在</w:t>
      </w:r>
      <w:r>
        <w:rPr>
          <w:rFonts w:hint="eastAsia" w:ascii="FangSong_GB2312" w:hAnsi="仿宋" w:eastAsia="FangSong_GB2312" w:cs="仿宋"/>
          <w:sz w:val="32"/>
          <w:szCs w:val="32"/>
          <w:lang w:eastAsia="zh-CN"/>
        </w:rPr>
        <w:t>资金</w:t>
      </w:r>
      <w:r>
        <w:rPr>
          <w:rFonts w:hint="eastAsia" w:ascii="FangSong_GB2312" w:hAnsi="仿宋" w:eastAsia="FangSong_GB2312" w:cs="仿宋"/>
          <w:sz w:val="32"/>
          <w:szCs w:val="32"/>
        </w:rPr>
        <w:t>投入不足、</w:t>
      </w:r>
      <w:r>
        <w:rPr>
          <w:rFonts w:hint="eastAsia" w:ascii="FangSong_GB2312" w:hAnsi="仿宋" w:eastAsia="FangSong_GB2312" w:cs="仿宋"/>
          <w:sz w:val="32"/>
          <w:szCs w:val="32"/>
          <w:lang w:val="en-US" w:eastAsia="zh-CN"/>
        </w:rPr>
        <w:t>灌溉基础条件较差、重建设轻管护等问题</w:t>
      </w:r>
      <w:r>
        <w:rPr>
          <w:rFonts w:hint="eastAsia" w:ascii="FangSong_GB2312" w:hAnsi="仿宋" w:eastAsia="FangSong_GB2312" w:cs="仿宋"/>
          <w:sz w:val="32"/>
          <w:szCs w:val="32"/>
        </w:rPr>
        <w:t>。下一步,市</w:t>
      </w:r>
      <w:r>
        <w:rPr>
          <w:rFonts w:hint="eastAsia" w:ascii="FangSong_GB2312" w:hAnsi="仿宋" w:eastAsia="FangSong_GB2312" w:cs="仿宋"/>
          <w:sz w:val="32"/>
          <w:szCs w:val="32"/>
          <w:lang w:eastAsia="zh-CN"/>
        </w:rPr>
        <w:t>农业农村局</w:t>
      </w:r>
      <w:r>
        <w:rPr>
          <w:rFonts w:hint="eastAsia" w:ascii="FangSong_GB2312" w:hAnsi="仿宋" w:eastAsia="FangSong_GB2312" w:cs="仿宋"/>
          <w:sz w:val="32"/>
          <w:szCs w:val="32"/>
        </w:rPr>
        <w:t>将充分吸收代表们提出的意见和建议，发挥优势、补齐短板</w:t>
      </w:r>
      <w:r>
        <w:rPr>
          <w:rFonts w:hint="eastAsia" w:ascii="FangSong_GB2312" w:hAnsi="仿宋" w:eastAsia="FangSong_GB2312" w:cs="仿宋"/>
          <w:sz w:val="32"/>
          <w:szCs w:val="32"/>
          <w:lang w:eastAsia="zh-CN"/>
        </w:rPr>
        <w:t>，</w:t>
      </w:r>
      <w:r>
        <w:rPr>
          <w:rFonts w:hint="eastAsia" w:ascii="FangSong_GB2312" w:hAnsi="仿宋" w:eastAsia="FangSong_GB2312" w:cs="仿宋"/>
          <w:sz w:val="32"/>
          <w:szCs w:val="32"/>
        </w:rPr>
        <w:t>着力在以下几个方面开展工作：</w:t>
      </w:r>
    </w:p>
    <w:p>
      <w:pPr>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default" w:ascii="仿宋" w:hAnsi="仿宋" w:eastAsia="仿宋" w:cs="仿宋"/>
          <w:b w:val="0"/>
          <w:bCs w:val="0"/>
          <w:sz w:val="32"/>
          <w:szCs w:val="32"/>
          <w:lang w:val="en-US" w:eastAsia="zh-CN"/>
        </w:rPr>
      </w:pPr>
      <w:r>
        <w:rPr>
          <w:rFonts w:hint="eastAsia" w:ascii="楷体" w:hAnsi="楷体" w:eastAsia="楷体" w:cs="楷体"/>
          <w:b w:val="0"/>
          <w:bCs w:val="0"/>
          <w:sz w:val="32"/>
          <w:szCs w:val="32"/>
          <w:lang w:val="en-US" w:eastAsia="zh-CN"/>
        </w:rPr>
        <w:t>（一）加大资金争取力度。</w:t>
      </w:r>
      <w:r>
        <w:rPr>
          <w:rFonts w:hint="eastAsia" w:ascii="仿宋_GB2312" w:hAnsi="仿宋_GB2312" w:eastAsia="仿宋_GB2312" w:cs="仿宋_GB2312"/>
          <w:b w:val="0"/>
          <w:bCs w:val="0"/>
          <w:kern w:val="2"/>
          <w:sz w:val="32"/>
          <w:szCs w:val="32"/>
          <w:lang w:val="en-US" w:eastAsia="zh-CN" w:bidi="ar-SA"/>
        </w:rPr>
        <w:t>一方面，继续加大项目争取力度，争取省厅在高标准农田项目向渭南倾斜。渭南做为传统农业大市，是陕西粮仓，在新冠疫情流行和全国粮食安全的大背景下，更应该承担粮食安全的重任。另一方面，加大市县两级财政配套资金的申请力度，充分利用金融支农、社会工商资本投入等，多渠道加大高标准农田建设的投入。</w:t>
      </w:r>
    </w:p>
    <w:p>
      <w:pPr>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b w:val="0"/>
          <w:bCs w:val="0"/>
          <w:sz w:val="32"/>
          <w:szCs w:val="32"/>
          <w:lang w:val="en-US" w:eastAsia="zh-CN"/>
        </w:rPr>
        <w:t>（二）加强渭北旱塬区的农田水利设施建设。</w:t>
      </w:r>
      <w:r>
        <w:rPr>
          <w:rFonts w:hint="eastAsia" w:ascii="仿宋_GB2312" w:hAnsi="仿宋_GB2312" w:eastAsia="仿宋_GB2312" w:cs="仿宋_GB2312"/>
          <w:sz w:val="32"/>
          <w:szCs w:val="32"/>
          <w:lang w:val="en-US" w:eastAsia="zh-CN"/>
        </w:rPr>
        <w:t>一是积极与水利部门对接，按照水利部门的规划，依靠其大中型水利骨干工程，优化我市农田水利设施布局，解决田间地头“最后一公里”的灌溉问题。二是强化农业措施，加强旱作农业的技术推广，大力推广喷灌、滴灌等一系列高效节水措施，解决农田灌溉问题。</w:t>
      </w:r>
    </w:p>
    <w:p>
      <w:pPr>
        <w:keepNext w:val="0"/>
        <w:keepLines w:val="0"/>
        <w:pageBreakBefore w:val="0"/>
        <w:widowControl w:val="0"/>
        <w:numPr>
          <w:ilvl w:val="0"/>
          <w:numId w:val="0"/>
        </w:numPr>
        <w:kinsoku/>
        <w:wordWrap/>
        <w:overflowPunct/>
        <w:topLinePunct w:val="0"/>
        <w:autoSpaceDE/>
        <w:autoSpaceDN/>
        <w:bidi w:val="0"/>
        <w:adjustRightInd/>
        <w:snapToGrid/>
        <w:spacing w:before="50" w:after="50" w:line="640"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b w:val="0"/>
          <w:bCs w:val="0"/>
          <w:sz w:val="32"/>
          <w:szCs w:val="32"/>
          <w:lang w:val="en-US" w:eastAsia="zh-CN"/>
        </w:rPr>
        <w:t>（三）强化农田水利基础设施的运行管护。</w:t>
      </w:r>
      <w:r>
        <w:rPr>
          <w:rFonts w:hint="eastAsia" w:ascii="仿宋_GB2312" w:hAnsi="仿宋_GB2312" w:eastAsia="仿宋_GB2312" w:cs="仿宋_GB2312"/>
          <w:sz w:val="32"/>
          <w:szCs w:val="32"/>
          <w:lang w:val="en-US" w:eastAsia="zh-CN"/>
        </w:rPr>
        <w:t>指导县乡人民政府探索建立农田水利基础设施的运行管护管理机制，本着“谁使用，谁负责”，明晰所有权和使用权，积极探索用管护一体化的新模式，明确运行管护的主体，落实责任和措施。</w:t>
      </w:r>
    </w:p>
    <w:p>
      <w:pPr>
        <w:pStyle w:val="2"/>
        <w:ind w:firstLine="640" w:firstLineChars="200"/>
        <w:jc w:val="both"/>
        <w:rPr>
          <w:rFonts w:hint="eastAsia" w:ascii="FangSong_GB2312" w:hAnsi="仿宋" w:eastAsia="FangSong_GB2312" w:cs="仿宋"/>
          <w:kern w:val="2"/>
          <w:sz w:val="32"/>
          <w:szCs w:val="32"/>
          <w:lang w:val="en-US" w:eastAsia="zh-CN" w:bidi="ar-SA"/>
        </w:rPr>
      </w:pPr>
      <w:r>
        <w:rPr>
          <w:rFonts w:hint="eastAsia" w:ascii="FangSong_GB2312" w:hAnsi="仿宋" w:eastAsia="FangSong_GB2312" w:cs="仿宋"/>
          <w:kern w:val="2"/>
          <w:sz w:val="32"/>
          <w:szCs w:val="32"/>
          <w:lang w:val="en-US" w:eastAsia="zh-CN" w:bidi="ar-SA"/>
        </w:rPr>
        <w:t>感谢您对我市高标准农田建设工作的关心，希望你继续为我市“三农”工作发展建好言、献好策。</w:t>
      </w:r>
    </w:p>
    <w:p>
      <w:pPr>
        <w:pStyle w:val="2"/>
        <w:ind w:firstLine="640" w:firstLineChars="200"/>
        <w:jc w:val="both"/>
        <w:rPr>
          <w:rFonts w:hint="eastAsia" w:ascii="FangSong_GB2312" w:hAnsi="仿宋" w:eastAsia="FangSong_GB2312" w:cs="仿宋"/>
          <w:kern w:val="2"/>
          <w:sz w:val="32"/>
          <w:szCs w:val="32"/>
          <w:lang w:val="en-US" w:eastAsia="zh-CN" w:bidi="ar-SA"/>
        </w:rPr>
      </w:pPr>
    </w:p>
    <w:p>
      <w:pPr>
        <w:pStyle w:val="2"/>
        <w:ind w:firstLine="480" w:firstLineChars="200"/>
        <w:jc w:val="both"/>
        <w:rPr>
          <w:rFonts w:hint="eastAsia" w:ascii="宋体" w:hAnsi="宋体" w:eastAsia="宋体" w:cs="宋体"/>
          <w:i w:val="0"/>
          <w:caps w:val="0"/>
          <w:color w:val="3D3D3D"/>
          <w:spacing w:val="0"/>
          <w:sz w:val="24"/>
          <w:szCs w:val="24"/>
          <w:shd w:val="clear" w:fill="FFFFFF"/>
        </w:rPr>
      </w:pPr>
    </w:p>
    <w:p>
      <w:pPr>
        <w:pStyle w:val="2"/>
        <w:ind w:firstLine="480" w:firstLineChars="200"/>
        <w:jc w:val="both"/>
        <w:rPr>
          <w:rFonts w:hint="eastAsia" w:ascii="宋体" w:hAnsi="宋体" w:eastAsia="宋体" w:cs="宋体"/>
          <w:i w:val="0"/>
          <w:caps w:val="0"/>
          <w:color w:val="3D3D3D"/>
          <w:spacing w:val="0"/>
          <w:sz w:val="24"/>
          <w:szCs w:val="24"/>
          <w:shd w:val="clear" w:fill="FFFFFF"/>
        </w:rPr>
      </w:pPr>
    </w:p>
    <w:p>
      <w:pPr>
        <w:pStyle w:val="2"/>
        <w:ind w:firstLine="480" w:firstLineChars="200"/>
        <w:jc w:val="both"/>
        <w:rPr>
          <w:rFonts w:hint="eastAsia" w:ascii="宋体" w:hAnsi="宋体" w:eastAsia="宋体" w:cs="宋体"/>
          <w:i w:val="0"/>
          <w:caps w:val="0"/>
          <w:color w:val="3D3D3D"/>
          <w:spacing w:val="0"/>
          <w:sz w:val="24"/>
          <w:szCs w:val="24"/>
          <w:shd w:val="clear" w:fill="FFFFFF"/>
        </w:rPr>
      </w:pPr>
    </w:p>
    <w:p>
      <w:pPr>
        <w:pStyle w:val="2"/>
        <w:ind w:firstLine="480" w:firstLineChars="200"/>
        <w:jc w:val="both"/>
        <w:rPr>
          <w:rFonts w:hint="eastAsia" w:ascii="宋体" w:hAnsi="宋体" w:eastAsia="宋体" w:cs="宋体"/>
          <w:i w:val="0"/>
          <w:caps w:val="0"/>
          <w:color w:val="3D3D3D"/>
          <w:spacing w:val="0"/>
          <w:sz w:val="24"/>
          <w:szCs w:val="24"/>
          <w:shd w:val="clear" w:fill="FFFFFF"/>
        </w:rPr>
      </w:pPr>
    </w:p>
    <w:p>
      <w:pPr>
        <w:pStyle w:val="2"/>
        <w:ind w:firstLine="480" w:firstLineChars="200"/>
        <w:jc w:val="both"/>
        <w:rPr>
          <w:rFonts w:hint="eastAsia" w:ascii="FangSong_GB2312" w:hAnsi="仿宋" w:eastAsia="FangSong_GB2312" w:cs="仿宋"/>
          <w:kern w:val="2"/>
          <w:sz w:val="32"/>
          <w:szCs w:val="32"/>
          <w:lang w:val="en-US" w:eastAsia="zh-CN" w:bidi="ar-SA"/>
        </w:rPr>
      </w:pPr>
      <w:r>
        <w:rPr>
          <w:rFonts w:hint="eastAsia" w:ascii="宋体" w:hAnsi="宋体" w:eastAsia="宋体" w:cs="宋体"/>
          <w:i w:val="0"/>
          <w:caps w:val="0"/>
          <w:color w:val="3D3D3D"/>
          <w:spacing w:val="0"/>
          <w:sz w:val="24"/>
          <w:szCs w:val="24"/>
          <w:shd w:val="clear" w:fill="FFFFFF"/>
          <w:lang w:val="en-US" w:eastAsia="zh-CN"/>
        </w:rPr>
        <w:t xml:space="preserve">                </w:t>
      </w:r>
      <w:r>
        <w:rPr>
          <w:rFonts w:hint="eastAsia" w:ascii="FangSong_GB2312" w:hAnsi="仿宋" w:eastAsia="FangSong_GB2312" w:cs="仿宋"/>
          <w:kern w:val="2"/>
          <w:sz w:val="32"/>
          <w:szCs w:val="32"/>
          <w:lang w:val="en-US" w:eastAsia="zh-CN" w:bidi="ar-SA"/>
        </w:rPr>
        <w:t xml:space="preserve">              渭南市农业农村局</w:t>
      </w:r>
    </w:p>
    <w:p>
      <w:pPr>
        <w:pStyle w:val="2"/>
        <w:ind w:firstLine="4800" w:firstLineChars="1500"/>
        <w:jc w:val="both"/>
        <w:rPr>
          <w:rFonts w:hint="eastAsia" w:ascii="FangSong_GB2312" w:hAnsi="仿宋" w:eastAsia="FangSong_GB2312" w:cs="仿宋"/>
          <w:kern w:val="2"/>
          <w:sz w:val="32"/>
          <w:szCs w:val="32"/>
          <w:lang w:val="en-US" w:eastAsia="zh-CN" w:bidi="ar-SA"/>
        </w:rPr>
      </w:pPr>
      <w:r>
        <w:rPr>
          <w:rFonts w:hint="eastAsia" w:ascii="FangSong_GB2312" w:hAnsi="仿宋" w:eastAsia="FangSong_GB2312" w:cs="仿宋"/>
          <w:kern w:val="2"/>
          <w:sz w:val="32"/>
          <w:szCs w:val="32"/>
          <w:lang w:val="en-US" w:eastAsia="zh-CN" w:bidi="ar-SA"/>
        </w:rPr>
        <w:t>2021年7月 日</w:t>
      </w:r>
    </w:p>
    <w:p>
      <w:pPr>
        <w:pStyle w:val="2"/>
        <w:ind w:firstLine="4800" w:firstLineChars="1500"/>
        <w:jc w:val="both"/>
        <w:rPr>
          <w:rFonts w:hint="eastAsia" w:ascii="FangSong_GB2312" w:hAnsi="仿宋" w:eastAsia="FangSong_GB2312" w:cs="仿宋"/>
          <w:kern w:val="2"/>
          <w:sz w:val="32"/>
          <w:szCs w:val="32"/>
          <w:lang w:val="en-US" w:eastAsia="zh-CN" w:bidi="ar-SA"/>
        </w:rPr>
      </w:pPr>
    </w:p>
    <w:p>
      <w:pPr>
        <w:pStyle w:val="2"/>
        <w:ind w:firstLine="4800" w:firstLineChars="1500"/>
        <w:jc w:val="both"/>
        <w:rPr>
          <w:rFonts w:hint="eastAsia" w:ascii="FangSong_GB2312" w:hAnsi="仿宋" w:eastAsia="FangSong_GB2312" w:cs="仿宋"/>
          <w:kern w:val="2"/>
          <w:sz w:val="32"/>
          <w:szCs w:val="32"/>
          <w:lang w:val="en-US" w:eastAsia="zh-CN" w:bidi="ar-SA"/>
        </w:rPr>
      </w:pPr>
    </w:p>
    <w:p>
      <w:pPr>
        <w:pStyle w:val="2"/>
        <w:ind w:firstLine="4800" w:firstLineChars="1500"/>
        <w:jc w:val="both"/>
        <w:rPr>
          <w:rFonts w:hint="eastAsia" w:ascii="FangSong_GB2312" w:hAnsi="仿宋" w:eastAsia="FangSong_GB2312" w:cs="仿宋"/>
          <w:kern w:val="2"/>
          <w:sz w:val="32"/>
          <w:szCs w:val="32"/>
          <w:lang w:val="en-US" w:eastAsia="zh-CN" w:bidi="ar-SA"/>
        </w:rPr>
      </w:pPr>
    </w:p>
    <w:p>
      <w:pPr>
        <w:pStyle w:val="2"/>
        <w:ind w:firstLine="960" w:firstLineChars="300"/>
        <w:jc w:val="both"/>
        <w:rPr>
          <w:rFonts w:hint="default" w:ascii="FangSong_GB2312" w:hAnsi="仿宋" w:eastAsia="FangSong_GB2312" w:cs="仿宋"/>
          <w:kern w:val="2"/>
          <w:sz w:val="32"/>
          <w:szCs w:val="32"/>
          <w:lang w:val="en-US" w:eastAsia="zh-CN" w:bidi="ar-SA"/>
        </w:rPr>
      </w:pPr>
      <w:r>
        <w:rPr>
          <w:rFonts w:hint="eastAsia" w:ascii="FangSong_GB2312" w:hAnsi="仿宋" w:eastAsia="FangSong_GB2312" w:cs="仿宋"/>
          <w:kern w:val="2"/>
          <w:sz w:val="32"/>
          <w:szCs w:val="32"/>
          <w:lang w:val="en-US" w:eastAsia="zh-CN" w:bidi="ar-SA"/>
        </w:rPr>
        <w:t>（联系人：文新乐  电话：2935951）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Wingdings 2">
    <w:panose1 w:val="05020102010507070707"/>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Song_GB2312">
    <w:altName w:val="仿宋_GB2312"/>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C23EE"/>
    <w:rsid w:val="1965266F"/>
    <w:rsid w:val="4EAA6AF3"/>
    <w:rsid w:val="5CFC23EE"/>
    <w:rsid w:val="72BB3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tabs>
        <w:tab w:val="left" w:pos="4080"/>
      </w:tabs>
      <w:spacing w:line="420" w:lineRule="exact"/>
      <w:jc w:val="center"/>
    </w:pPr>
    <w:rPr>
      <w:kern w:val="1"/>
      <w:sz w:val="28"/>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2021-07-19T02:49:00Z</dcterms:created>
  <dc:creator>le..</dc:creator>
  <cp:lastModifiedBy>le..</cp:lastModifiedBy>
  <dcterms:modified xsi:type="dcterms:W3CDTF">2021-07-20T01:00:29Z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